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5D82E">
      <w:pPr>
        <w:ind w:firstLine="0" w:firstLineChars="0"/>
        <w:jc w:val="center"/>
        <w:rPr>
          <w:rFonts w:hint="eastAsia"/>
          <w:b/>
          <w:bCs/>
          <w:color w:val="000000" w:themeColor="text1"/>
          <w:sz w:val="36"/>
          <w:szCs w:val="36"/>
          <w14:textFill>
            <w14:solidFill>
              <w14:schemeClr w14:val="tx1"/>
            </w14:solidFill>
          </w14:textFill>
        </w:rPr>
      </w:pPr>
      <w:r>
        <w:rPr>
          <w:color w:val="000000" w:themeColor="text1"/>
          <w:sz w:val="36"/>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-872490</wp:posOffset>
                </wp:positionH>
                <wp:positionV relativeFrom="paragraph">
                  <wp:posOffset>-856615</wp:posOffset>
                </wp:positionV>
                <wp:extent cx="15120620" cy="1393190"/>
                <wp:effectExtent l="0" t="0" r="5080" b="16510"/>
                <wp:wrapNone/>
                <wp:docPr id="4" name="文本框 4"/>
                <wp:cNvGraphicFramePr/>
                <a:graphic xmlns:a="http://schemas.openxmlformats.org/drawingml/2006/main">
                  <a:graphicData uri="http://schemas.microsoft.com/office/word/2010/wordprocessingShape">
                    <wps:wsp>
                      <wps:cNvSpPr txBox="1"/>
                      <wps:spPr>
                        <a:xfrm>
                          <a:off x="0" y="0"/>
                          <a:ext cx="15120620" cy="1393190"/>
                        </a:xfrm>
                        <a:prstGeom prst="rect">
                          <a:avLst/>
                        </a:prstGeom>
                        <a:solidFill>
                          <a:schemeClr val="bg1"/>
                        </a:solidFill>
                        <a:ln w="6350">
                          <a:noFill/>
                        </a:ln>
                      </wps:spPr>
                      <wps:style>
                        <a:lnRef idx="0">
                          <a:schemeClr val="accent1"/>
                        </a:lnRef>
                        <a:fillRef idx="0">
                          <a:schemeClr val="accent1"/>
                        </a:fillRef>
                        <a:effectRef idx="0">
                          <a:schemeClr val="accent1"/>
                        </a:effectRef>
                        <a:fontRef idx="minor">
                          <a:schemeClr val="dk1"/>
                        </a:fontRef>
                      </wps:style>
                      <wps:txbx>
                        <w:txbxContent>
                          <w:p w14:paraId="2854AF7E">
                            <w:pPr>
                              <w:rPr>
                                <w:color w:val="FFFFFF" w:themeColor="background1"/>
                                <w14:textFill>
                                  <w14:solidFill>
                                    <w14:schemeClr w14:val="bg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8.7pt;margin-top:-67.45pt;height:109.7pt;width:1190.6pt;z-index:251660288;mso-width-relative:page;mso-height-relative:page;" fillcolor="#FFFFFF [3212]" filled="t" stroked="f" coordsize="21600,21600" o:gfxdata="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m33kYtgAAAANAQAA&#10;DwAAAAAAAAABACAAAAAiAAAAZHJzL2Rvd25yZXYueG1sUEsBAhQAFAAAAAgAh07iQNQUWBFSAgAA&#10;kQQAAA4AAAAAAAAAAQAgAAAAJwEAAGRycy9lMm9Eb2MueG1sUEsFBgAAAAAGAAYAWQEAAOsFAAAA&#10;AA==&#10;">
                <v:fill on="t" focussize="0,0"/>
                <v:stroke on="f" weight="0.5pt"/>
                <v:imagedata o:title=""/>
                <o:lock v:ext="edit" aspectratio="f"/>
                <v:textbox>
                  <w:txbxContent>
                    <w:p w14:paraId="2854AF7E">
                      <w:pPr>
                        <w:rPr>
                          <w:color w:val="FFFFFF" w:themeColor="background1"/>
                          <w14:textFill>
                            <w14:solidFill>
                              <w14:schemeClr w14:val="bg1"/>
                            </w14:solidFill>
                          </w14:textFill>
                        </w:rPr>
                      </w:pPr>
                    </w:p>
                  </w:txbxContent>
                </v:textbox>
              </v:shape>
            </w:pict>
          </mc:Fallback>
        </mc:AlternateContent>
      </w:r>
    </w:p>
    <w:p w14:paraId="0DA85944">
      <w:pPr>
        <w:widowControl/>
        <w:ind w:firstLine="0" w:firstLineChars="0"/>
        <w:jc w:val="both"/>
        <w:rPr>
          <w:rFonts w:ascii="黑体" w:hAnsi="黑体" w:eastAsia="黑体" w:cs="Times New Roman"/>
          <w:b/>
          <w:color w:val="000000" w:themeColor="text1"/>
          <w:sz w:val="48"/>
          <w:szCs w:val="48"/>
          <w14:textFill>
            <w14:solidFill>
              <w14:schemeClr w14:val="tx1"/>
            </w14:solidFill>
          </w14:textFill>
        </w:rPr>
      </w:pPr>
      <w:bookmarkStart w:id="0" w:name="_top"/>
      <w:bookmarkEnd w:id="0"/>
    </w:p>
    <w:p w14:paraId="4029EC36">
      <w:pPr>
        <w:widowControl/>
        <w:ind w:firstLine="0" w:firstLineChars="0"/>
        <w:jc w:val="center"/>
        <w:rPr>
          <w:rFonts w:hint="eastAsia" w:ascii="黑体" w:hAnsi="黑体" w:eastAsia="黑体" w:cs="Times New Roman"/>
          <w:b/>
          <w:color w:val="000000" w:themeColor="text1"/>
          <w:sz w:val="56"/>
          <w:szCs w:val="56"/>
          <w:u w:val="single"/>
          <w:lang w:eastAsia="zh-CN"/>
          <w14:textFill>
            <w14:solidFill>
              <w14:schemeClr w14:val="tx1"/>
            </w14:solidFill>
          </w14:textFill>
        </w:rPr>
      </w:pPr>
      <w:r>
        <w:rPr>
          <w:rFonts w:hint="eastAsia" w:ascii="黑体" w:hAnsi="黑体" w:eastAsia="黑体" w:cs="Times New Roman"/>
          <w:b/>
          <w:color w:val="000000" w:themeColor="text1"/>
          <w:sz w:val="56"/>
          <w:szCs w:val="56"/>
          <w:u w:val="single"/>
          <w:lang w:eastAsia="zh-CN"/>
          <w14:textFill>
            <w14:solidFill>
              <w14:schemeClr w14:val="tx1"/>
            </w14:solidFill>
          </w14:textFill>
        </w:rPr>
        <w:t>广州空港经济区拆迁安置区（花东安置区）教育配套设施建设项目</w:t>
      </w:r>
    </w:p>
    <w:p w14:paraId="62548FEB">
      <w:pPr>
        <w:widowControl/>
        <w:ind w:firstLine="0" w:firstLineChars="0"/>
        <w:jc w:val="center"/>
        <w:rPr>
          <w:rFonts w:hint="default" w:ascii="宋体" w:hAnsi="宋体" w:eastAsia="宋体" w:cs="Times New Roman"/>
          <w:b/>
          <w:color w:val="000000" w:themeColor="text1"/>
          <w:sz w:val="72"/>
          <w:szCs w:val="72"/>
          <w:lang w:val="en-US" w:eastAsia="zh-CN"/>
          <w14:textFill>
            <w14:solidFill>
              <w14:schemeClr w14:val="tx1"/>
            </w14:solidFill>
          </w14:textFill>
        </w:rPr>
      </w:pPr>
      <w:r>
        <w:rPr>
          <w:rFonts w:hint="eastAsia" w:ascii="宋体" w:hAnsi="宋体" w:cs="Times New Roman"/>
          <w:b/>
          <w:color w:val="000000" w:themeColor="text1"/>
          <w:sz w:val="72"/>
          <w:szCs w:val="72"/>
          <w:lang w:val="en-US" w:eastAsia="zh-CN"/>
          <w14:textFill>
            <w14:solidFill>
              <w14:schemeClr w14:val="tx1"/>
            </w14:solidFill>
          </w14:textFill>
        </w:rPr>
        <w:t>施工图</w:t>
      </w:r>
    </w:p>
    <w:p w14:paraId="7CB89975">
      <w:pPr>
        <w:widowControl/>
        <w:ind w:firstLine="0" w:firstLineChars="0"/>
        <w:jc w:val="center"/>
        <w:rPr>
          <w:rFonts w:ascii="宋体" w:hAnsi="宋体" w:cs="Times New Roman"/>
          <w:b/>
          <w:color w:val="000000" w:themeColor="text1"/>
          <w:sz w:val="48"/>
          <w:szCs w:val="48"/>
          <w14:textFill>
            <w14:solidFill>
              <w14:schemeClr w14:val="tx1"/>
            </w14:solidFill>
          </w14:textFill>
        </w:rPr>
      </w:pPr>
    </w:p>
    <w:p w14:paraId="3DADEC8B">
      <w:pPr>
        <w:widowControl/>
        <w:ind w:firstLine="0" w:firstLineChars="0"/>
        <w:jc w:val="center"/>
        <w:rPr>
          <w:rFonts w:ascii="宋体" w:hAnsi="宋体" w:cs="Times New Roman"/>
          <w:b/>
          <w:color w:val="000000" w:themeColor="text1"/>
          <w:sz w:val="48"/>
          <w:szCs w:val="48"/>
          <w14:textFill>
            <w14:solidFill>
              <w14:schemeClr w14:val="tx1"/>
            </w14:solidFill>
          </w14:textFill>
        </w:rPr>
      </w:pPr>
    </w:p>
    <w:p w14:paraId="33E073F2">
      <w:pPr>
        <w:widowControl/>
        <w:ind w:firstLine="0" w:firstLineChars="0"/>
        <w:jc w:val="center"/>
        <w:rPr>
          <w:rFonts w:ascii="宋体" w:hAnsi="宋体" w:cs="Times New Roman"/>
          <w:b/>
          <w:color w:val="000000" w:themeColor="text1"/>
          <w:sz w:val="48"/>
          <w:szCs w:val="48"/>
          <w14:textFill>
            <w14:solidFill>
              <w14:schemeClr w14:val="tx1"/>
            </w14:solidFill>
          </w14:textFill>
        </w:rPr>
      </w:pPr>
    </w:p>
    <w:p w14:paraId="50DCC8BF">
      <w:pPr>
        <w:widowControl/>
        <w:ind w:firstLine="0" w:firstLineChars="0"/>
        <w:jc w:val="center"/>
        <w:rPr>
          <w:rFonts w:ascii="宋体" w:hAnsi="宋体" w:cs="Times New Roman"/>
          <w:b/>
          <w:color w:val="000000" w:themeColor="text1"/>
          <w:sz w:val="48"/>
          <w:szCs w:val="48"/>
          <w14:textFill>
            <w14:solidFill>
              <w14:schemeClr w14:val="tx1"/>
            </w14:solidFill>
          </w14:textFill>
        </w:rPr>
      </w:pPr>
      <w:r>
        <w:rPr>
          <w:rFonts w:hint="eastAsia" w:ascii="宋体" w:hAnsi="宋体" w:cs="Times New Roman"/>
          <w:b/>
          <w:color w:val="000000" w:themeColor="text1"/>
          <w:sz w:val="48"/>
          <w:szCs w:val="48"/>
          <w14:textFill>
            <w14:solidFill>
              <w14:schemeClr w14:val="tx1"/>
            </w14:solidFill>
          </w14:textFill>
        </w:rPr>
        <w:t>工程编号:202308079A</w:t>
      </w:r>
    </w:p>
    <w:p w14:paraId="6E997F8F">
      <w:pPr>
        <w:widowControl/>
        <w:ind w:firstLine="0" w:firstLineChars="0"/>
        <w:jc w:val="center"/>
        <w:rPr>
          <w:rFonts w:ascii="宋体" w:hAnsi="宋体" w:cs="Times New Roman"/>
          <w:b/>
          <w:color w:val="000000" w:themeColor="text1"/>
          <w:sz w:val="48"/>
          <w:szCs w:val="48"/>
          <w14:textFill>
            <w14:solidFill>
              <w14:schemeClr w14:val="tx1"/>
            </w14:solidFill>
          </w14:textFill>
        </w:rPr>
      </w:pPr>
      <w:r>
        <w:rPr>
          <w:rFonts w:hint="eastAsia" w:ascii="宋体" w:hAnsi="宋体" w:cs="Times New Roman"/>
          <w:b/>
          <w:color w:val="000000" w:themeColor="text1"/>
          <w:sz w:val="48"/>
          <w:szCs w:val="48"/>
          <w14:textFill>
            <w14:solidFill>
              <w14:schemeClr w14:val="tx1"/>
            </w14:solidFill>
          </w14:textFill>
        </w:rPr>
        <w:t>第</w:t>
      </w:r>
      <w:r>
        <w:rPr>
          <w:rFonts w:hint="eastAsia" w:ascii="宋体" w:hAnsi="宋体" w:cs="Times New Roman"/>
          <w:b/>
          <w:color w:val="000000" w:themeColor="text1"/>
          <w:sz w:val="48"/>
          <w:szCs w:val="48"/>
          <w:lang w:val="en-US" w:eastAsia="zh-CN"/>
          <w14:textFill>
            <w14:solidFill>
              <w14:schemeClr w14:val="tx1"/>
            </w14:solidFill>
          </w14:textFill>
        </w:rPr>
        <w:t>六</w:t>
      </w:r>
      <w:r>
        <w:rPr>
          <w:rFonts w:hint="eastAsia" w:ascii="宋体" w:hAnsi="宋体" w:cs="Times New Roman"/>
          <w:b/>
          <w:color w:val="000000" w:themeColor="text1"/>
          <w:sz w:val="48"/>
          <w:szCs w:val="48"/>
          <w14:textFill>
            <w14:solidFill>
              <w14:schemeClr w14:val="tx1"/>
            </w14:solidFill>
          </w14:textFill>
        </w:rPr>
        <w:t>册:市政照明工</w:t>
      </w:r>
      <w:bookmarkStart w:id="21" w:name="_GoBack"/>
      <w:bookmarkEnd w:id="21"/>
      <w:r>
        <w:rPr>
          <w:rFonts w:hint="eastAsia" w:ascii="宋体" w:hAnsi="宋体" w:cs="Times New Roman"/>
          <w:b/>
          <w:color w:val="000000" w:themeColor="text1"/>
          <w:sz w:val="48"/>
          <w:szCs w:val="48"/>
          <w14:textFill>
            <w14:solidFill>
              <w14:schemeClr w14:val="tx1"/>
            </w14:solidFill>
          </w14:textFill>
        </w:rPr>
        <w:t>程</w:t>
      </w:r>
    </w:p>
    <w:p w14:paraId="711E730D">
      <w:pPr>
        <w:widowControl/>
        <w:ind w:firstLine="0" w:firstLineChars="0"/>
        <w:jc w:val="center"/>
        <w:rPr>
          <w:rFonts w:hint="eastAsia" w:ascii="宋体" w:hAnsi="宋体" w:eastAsia="宋体" w:cs="Times New Roman"/>
          <w:b/>
          <w:color w:val="000000" w:themeColor="text1"/>
          <w:sz w:val="48"/>
          <w:szCs w:val="48"/>
          <w:lang w:eastAsia="zh-CN"/>
          <w14:textFill>
            <w14:solidFill>
              <w14:schemeClr w14:val="tx1"/>
            </w14:solidFill>
          </w14:textFill>
        </w:rPr>
      </w:pPr>
      <w:r>
        <w:rPr>
          <w:rFonts w:hint="eastAsia" w:ascii="宋体" w:hAnsi="宋体" w:cs="Times New Roman"/>
          <w:b/>
          <w:color w:val="000000" w:themeColor="text1"/>
          <w:sz w:val="48"/>
          <w:szCs w:val="48"/>
          <w:lang w:eastAsia="zh-CN"/>
          <w14:textFill>
            <w14:solidFill>
              <w14:schemeClr w14:val="tx1"/>
            </w14:solidFill>
          </w14:textFill>
        </w:rPr>
        <w:t>共</w:t>
      </w:r>
      <w:r>
        <w:rPr>
          <w:rFonts w:hint="eastAsia" w:ascii="宋体" w:hAnsi="宋体" w:cs="Times New Roman"/>
          <w:b/>
          <w:color w:val="000000" w:themeColor="text1"/>
          <w:sz w:val="48"/>
          <w:szCs w:val="48"/>
          <w:lang w:val="en-US" w:eastAsia="zh-CN"/>
          <w14:textFill>
            <w14:solidFill>
              <w14:schemeClr w14:val="tx1"/>
            </w14:solidFill>
          </w14:textFill>
        </w:rPr>
        <w:t>八</w:t>
      </w:r>
      <w:r>
        <w:rPr>
          <w:rFonts w:hint="eastAsia" w:ascii="宋体" w:hAnsi="宋体" w:cs="Times New Roman"/>
          <w:b/>
          <w:color w:val="000000" w:themeColor="text1"/>
          <w:sz w:val="48"/>
          <w:szCs w:val="48"/>
          <w:lang w:eastAsia="zh-CN"/>
          <w14:textFill>
            <w14:solidFill>
              <w14:schemeClr w14:val="tx1"/>
            </w14:solidFill>
          </w14:textFill>
        </w:rPr>
        <w:t>册</w:t>
      </w:r>
    </w:p>
    <w:p w14:paraId="669899E8">
      <w:pPr>
        <w:widowControl/>
        <w:ind w:firstLine="0" w:firstLineChars="0"/>
        <w:jc w:val="center"/>
        <w:rPr>
          <w:rFonts w:ascii="宋体" w:hAnsi="宋体" w:cs="Times New Roman"/>
          <w:b/>
          <w:color w:val="000000" w:themeColor="text1"/>
          <w:sz w:val="48"/>
          <w:szCs w:val="48"/>
          <w14:textFill>
            <w14:solidFill>
              <w14:schemeClr w14:val="tx1"/>
            </w14:solidFill>
          </w14:textFill>
        </w:rPr>
      </w:pPr>
    </w:p>
    <w:p w14:paraId="198C9BE2">
      <w:pPr>
        <w:widowControl/>
        <w:ind w:firstLine="0" w:firstLineChars="0"/>
        <w:jc w:val="center"/>
        <w:rPr>
          <w:rFonts w:ascii="宋体" w:hAnsi="宋体" w:cs="Times New Roman"/>
          <w:b/>
          <w:color w:val="000000" w:themeColor="text1"/>
          <w:sz w:val="48"/>
          <w:szCs w:val="48"/>
          <w14:textFill>
            <w14:solidFill>
              <w14:schemeClr w14:val="tx1"/>
            </w14:solidFill>
          </w14:textFill>
        </w:rPr>
      </w:pPr>
    </w:p>
    <w:p w14:paraId="61F3492E">
      <w:pPr>
        <w:widowControl/>
        <w:ind w:firstLine="0" w:firstLineChars="0"/>
        <w:jc w:val="left"/>
        <w:rPr>
          <w:rFonts w:ascii="宋体" w:hAnsi="宋体"/>
          <w:b/>
          <w:color w:val="000000" w:themeColor="text1"/>
          <w:sz w:val="48"/>
          <w:szCs w:val="48"/>
          <w14:textFill>
            <w14:solidFill>
              <w14:schemeClr w14:val="tx1"/>
            </w14:solidFill>
          </w14:textFill>
        </w:rPr>
      </w:pPr>
    </w:p>
    <w:p w14:paraId="2AED4947">
      <w:pPr>
        <w:widowControl/>
        <w:ind w:firstLine="0" w:firstLineChars="0"/>
        <w:jc w:val="left"/>
        <w:rPr>
          <w:rFonts w:ascii="宋体" w:hAnsi="宋体"/>
          <w:b/>
          <w:color w:val="000000" w:themeColor="text1"/>
          <w:sz w:val="48"/>
          <w:szCs w:val="48"/>
          <w14:textFill>
            <w14:solidFill>
              <w14:schemeClr w14:val="tx1"/>
            </w14:solidFill>
          </w14:textFill>
        </w:rPr>
      </w:pPr>
    </w:p>
    <w:p w14:paraId="5D0ED50B">
      <w:pPr>
        <w:widowControl/>
        <w:ind w:firstLine="0" w:firstLineChars="0"/>
        <w:jc w:val="center"/>
        <w:rPr>
          <w:rFonts w:ascii="宋体" w:hAnsi="宋体"/>
          <w:b/>
          <w:color w:val="000000" w:themeColor="text1"/>
          <w:sz w:val="48"/>
          <w:szCs w:val="48"/>
          <w14:textFill>
            <w14:solidFill>
              <w14:schemeClr w14:val="tx1"/>
            </w14:solidFill>
          </w14:textFill>
        </w:rPr>
      </w:pPr>
      <w:r>
        <w:rPr>
          <w:color w:val="000000" w:themeColor="text1"/>
          <w14:textFill>
            <w14:solidFill>
              <w14:schemeClr w14:val="tx1"/>
            </w14:solidFill>
          </w14:textFill>
        </w:rPr>
        <w:drawing>
          <wp:inline distT="0" distB="0" distL="114300" distR="114300">
            <wp:extent cx="5400040" cy="1143000"/>
            <wp:effectExtent l="0" t="0" r="1016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3"/>
                    <a:stretch>
                      <a:fillRect/>
                    </a:stretch>
                  </pic:blipFill>
                  <pic:spPr>
                    <a:xfrm>
                      <a:off x="0" y="0"/>
                      <a:ext cx="5400040" cy="1143000"/>
                    </a:xfrm>
                    <a:prstGeom prst="rect">
                      <a:avLst/>
                    </a:prstGeom>
                    <a:noFill/>
                    <a:ln>
                      <a:noFill/>
                    </a:ln>
                  </pic:spPr>
                </pic:pic>
              </a:graphicData>
            </a:graphic>
          </wp:inline>
        </w:drawing>
      </w:r>
    </w:p>
    <w:p w14:paraId="756AB42F">
      <w:pPr>
        <w:widowControl/>
        <w:ind w:firstLine="0" w:firstLineChars="0"/>
        <w:jc w:val="center"/>
        <w:rPr>
          <w:rFonts w:ascii="宋体" w:hAnsi="宋体"/>
          <w:b/>
          <w:color w:val="000000" w:themeColor="text1"/>
          <w:sz w:val="32"/>
          <w:szCs w:val="32"/>
          <w14:textFill>
            <w14:solidFill>
              <w14:schemeClr w14:val="tx1"/>
            </w14:solidFill>
          </w14:textFill>
        </w:rPr>
      </w:pPr>
    </w:p>
    <w:p w14:paraId="62DAB13C">
      <w:pPr>
        <w:widowControl/>
        <w:ind w:firstLine="0" w:firstLineChars="0"/>
        <w:jc w:val="center"/>
        <w:rPr>
          <w:rFonts w:hint="eastAsia" w:ascii="宋体" w:hAnsi="宋体" w:eastAsia="宋体" w:cs="Times New Roman"/>
          <w:b/>
          <w:color w:val="000000" w:themeColor="text1"/>
          <w:sz w:val="32"/>
          <w:szCs w:val="32"/>
          <w:lang w:val="en-US" w:eastAsia="zh-CN"/>
          <w14:textFill>
            <w14:solidFill>
              <w14:schemeClr w14:val="tx1"/>
            </w14:solidFill>
          </w14:textFill>
        </w:rPr>
      </w:pPr>
      <w:r>
        <w:rPr>
          <w:rFonts w:hint="eastAsia" w:ascii="宋体" w:hAnsi="宋体"/>
          <w:b/>
          <w:color w:val="000000" w:themeColor="text1"/>
          <w:sz w:val="32"/>
          <w:szCs w:val="32"/>
          <w:lang w:eastAsia="zh-CN"/>
          <w14:textFill>
            <w14:solidFill>
              <w14:schemeClr w14:val="tx1"/>
            </w14:solidFill>
          </w14:textFill>
        </w:rPr>
        <w:t>2025-03</w:t>
      </w:r>
    </w:p>
    <w:p w14:paraId="088AA9DE">
      <w:pPr>
        <w:widowControl/>
        <w:ind w:firstLine="0" w:firstLineChars="0"/>
        <w:jc w:val="left"/>
        <w:rPr>
          <w:rFonts w:ascii="宋体" w:hAnsi="宋体" w:cs="Times New Roman"/>
          <w:b/>
          <w:color w:val="000000" w:themeColor="text1"/>
          <w:sz w:val="48"/>
          <w:szCs w:val="48"/>
          <w14:textFill>
            <w14:solidFill>
              <w14:schemeClr w14:val="tx1"/>
            </w14:solidFill>
          </w14:textFill>
        </w:rPr>
      </w:pPr>
      <w:r>
        <w:rPr>
          <w:color w:val="000000" w:themeColor="text1"/>
          <w:sz w:val="36"/>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-953770</wp:posOffset>
                </wp:positionH>
                <wp:positionV relativeFrom="paragraph">
                  <wp:posOffset>948055</wp:posOffset>
                </wp:positionV>
                <wp:extent cx="15120620" cy="1393190"/>
                <wp:effectExtent l="0" t="0" r="5080" b="16510"/>
                <wp:wrapNone/>
                <wp:docPr id="7" name="文本框 7"/>
                <wp:cNvGraphicFramePr/>
                <a:graphic xmlns:a="http://schemas.openxmlformats.org/drawingml/2006/main">
                  <a:graphicData uri="http://schemas.microsoft.com/office/word/2010/wordprocessingShape">
                    <wps:wsp>
                      <wps:cNvSpPr txBox="1"/>
                      <wps:spPr>
                        <a:xfrm>
                          <a:off x="0" y="0"/>
                          <a:ext cx="15120620" cy="1393190"/>
                        </a:xfrm>
                        <a:prstGeom prst="rect">
                          <a:avLst/>
                        </a:prstGeom>
                        <a:solidFill>
                          <a:schemeClr val="bg1"/>
                        </a:solidFill>
                        <a:ln w="6350">
                          <a:noFill/>
                        </a:ln>
                      </wps:spPr>
                      <wps:style>
                        <a:lnRef idx="0">
                          <a:schemeClr val="accent1"/>
                        </a:lnRef>
                        <a:fillRef idx="0">
                          <a:schemeClr val="accent1"/>
                        </a:fillRef>
                        <a:effectRef idx="0">
                          <a:schemeClr val="accent1"/>
                        </a:effectRef>
                        <a:fontRef idx="minor">
                          <a:schemeClr val="dk1"/>
                        </a:fontRef>
                      </wps:style>
                      <wps:txbx>
                        <w:txbxContent>
                          <w:p w14:paraId="7AC2A484">
                            <w:pPr>
                              <w:rPr>
                                <w:rFonts w:hint="default" w:eastAsia="宋体"/>
                                <w:color w:val="FFFFFF" w:themeColor="background1"/>
                                <w:lang w:val="en-US" w:eastAsia="zh-CN"/>
                                <w14:textFill>
                                  <w14:solidFill>
                                    <w14:schemeClr w14:val="bg1"/>
                                  </w14:solidFill>
                                </w14:textFill>
                              </w:rPr>
                            </w:pPr>
                            <w:r>
                              <w:rPr>
                                <w:rFonts w:hint="eastAsia"/>
                                <w:color w:val="FFFFFF" w:themeColor="background1"/>
                                <w:lang w:val="en-US" w:eastAsia="zh-CN"/>
                                <w14:textFill>
                                  <w14:solidFill>
                                    <w14:schemeClr w14:val="bg1"/>
                                  </w14:solidFill>
                                </w14:textFill>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5.1pt;margin-top:74.65pt;height:109.7pt;width:1190.6pt;z-index:251662336;mso-width-relative:page;mso-height-relative:page;" fillcolor="#FFFFFF [3212]" filled="t" stroked="f" coordsize="21600,21600" o:gfxdata="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H7dZVHYAAAADQEA&#10;AA8AAAAAAAAAAQAgAAAAIgAAAGRycy9kb3ducmV2LnhtbFBLAQIUABQAAAAIAIdO4kAyKATMUwIA&#10;AJEEAAAOAAAAAAAAAAEAIAAAACcBAABkcnMvZTJvRG9jLnhtbFBLBQYAAAAABgAGAFkBAADsBQAA&#10;AAA=&#10;">
                <v:fill on="t" focussize="0,0"/>
                <v:stroke on="f" weight="0.5pt"/>
                <v:imagedata o:title=""/>
                <o:lock v:ext="edit" aspectratio="f"/>
                <v:textbox>
                  <w:txbxContent>
                    <w:p w14:paraId="7AC2A484">
                      <w:pPr>
                        <w:rPr>
                          <w:rFonts w:hint="default" w:eastAsia="宋体"/>
                          <w:color w:val="FFFFFF" w:themeColor="background1"/>
                          <w:lang w:val="en-US" w:eastAsia="zh-CN"/>
                          <w14:textFill>
                            <w14:solidFill>
                              <w14:schemeClr w14:val="bg1"/>
                            </w14:solidFill>
                          </w14:textFill>
                        </w:rPr>
                      </w:pPr>
                      <w:r>
                        <w:rPr>
                          <w:rFonts w:hint="eastAsia"/>
                          <w:color w:val="FFFFFF" w:themeColor="background1"/>
                          <w:lang w:val="en-US" w:eastAsia="zh-CN"/>
                          <w14:textFill>
                            <w14:solidFill>
                              <w14:schemeClr w14:val="bg1"/>
                            </w14:solidFill>
                          </w14:textFill>
                        </w:rPr>
                        <w:t xml:space="preserve">    </w:t>
                      </w:r>
                    </w:p>
                  </w:txbxContent>
                </v:textbox>
              </v:shape>
            </w:pict>
          </mc:Fallback>
        </mc:AlternateContent>
      </w:r>
      <w:r>
        <w:rPr>
          <w:rFonts w:ascii="黑体" w:hAnsi="Calibri" w:eastAsia="黑体" w:cs="Times New Roman"/>
          <w:b/>
          <w:color w:val="000000" w:themeColor="text1"/>
          <w:sz w:val="48"/>
          <w:szCs w:val="48"/>
          <w14:textFill>
            <w14:solidFill>
              <w14:schemeClr w14:val="tx1"/>
            </w14:solidFill>
          </w14:textFill>
        </w:rPr>
        <w:br w:type="page"/>
      </w:r>
    </w:p>
    <w:p w14:paraId="4DCB182F">
      <w:pPr>
        <w:widowControl/>
        <w:ind w:firstLine="0" w:firstLineChars="0"/>
        <w:jc w:val="center"/>
        <w:rPr>
          <w:rFonts w:ascii="黑体" w:hAnsi="黑体" w:eastAsia="黑体" w:cs="Times New Roman"/>
          <w:b/>
          <w:color w:val="000000" w:themeColor="text1"/>
          <w:sz w:val="48"/>
          <w:szCs w:val="48"/>
          <w14:textFill>
            <w14:solidFill>
              <w14:schemeClr w14:val="tx1"/>
            </w14:solidFill>
          </w14:textFill>
        </w:rPr>
      </w:pPr>
      <w:r>
        <w:rPr>
          <w:color w:val="000000" w:themeColor="text1"/>
          <w:sz w:val="36"/>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-953770</wp:posOffset>
                </wp:positionH>
                <wp:positionV relativeFrom="paragraph">
                  <wp:posOffset>-871220</wp:posOffset>
                </wp:positionV>
                <wp:extent cx="15120620" cy="1393190"/>
                <wp:effectExtent l="0" t="0" r="5080" b="16510"/>
                <wp:wrapNone/>
                <wp:docPr id="6" name="文本框 6"/>
                <wp:cNvGraphicFramePr/>
                <a:graphic xmlns:a="http://schemas.openxmlformats.org/drawingml/2006/main">
                  <a:graphicData uri="http://schemas.microsoft.com/office/word/2010/wordprocessingShape">
                    <wps:wsp>
                      <wps:cNvSpPr txBox="1"/>
                      <wps:spPr>
                        <a:xfrm>
                          <a:off x="0" y="0"/>
                          <a:ext cx="15120620" cy="1393190"/>
                        </a:xfrm>
                        <a:prstGeom prst="rect">
                          <a:avLst/>
                        </a:prstGeom>
                        <a:solidFill>
                          <a:schemeClr val="bg1"/>
                        </a:solidFill>
                        <a:ln w="6350">
                          <a:noFill/>
                        </a:ln>
                      </wps:spPr>
                      <wps:style>
                        <a:lnRef idx="0">
                          <a:schemeClr val="accent1"/>
                        </a:lnRef>
                        <a:fillRef idx="0">
                          <a:schemeClr val="accent1"/>
                        </a:fillRef>
                        <a:effectRef idx="0">
                          <a:schemeClr val="accent1"/>
                        </a:effectRef>
                        <a:fontRef idx="minor">
                          <a:schemeClr val="dk1"/>
                        </a:fontRef>
                      </wps:style>
                      <wps:txbx>
                        <w:txbxContent>
                          <w:p w14:paraId="4AEE9FDF">
                            <w:pPr>
                              <w:rPr>
                                <w:rFonts w:hint="default" w:eastAsia="宋体"/>
                                <w:color w:val="FFFFFF" w:themeColor="background1"/>
                                <w:lang w:val="en-US" w:eastAsia="zh-CN"/>
                                <w14:textFill>
                                  <w14:solidFill>
                                    <w14:schemeClr w14:val="bg1"/>
                                  </w14:solidFill>
                                </w14:textFill>
                              </w:rPr>
                            </w:pPr>
                            <w:r>
                              <w:rPr>
                                <w:rFonts w:hint="eastAsia"/>
                                <w:color w:val="FFFFFF" w:themeColor="background1"/>
                                <w:lang w:val="en-US" w:eastAsia="zh-CN"/>
                                <w14:textFill>
                                  <w14:solidFill>
                                    <w14:schemeClr w14:val="bg1"/>
                                  </w14:solidFill>
                                </w14:textFill>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5.1pt;margin-top:-68.6pt;height:109.7pt;width:1190.6pt;z-index:251661312;mso-width-relative:page;mso-height-relative:page;" fillcolor="#FFFFFF [3212]" filled="t" stroked="f" coordsize="21600,21600" o:gfxdata="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JKJGd3WAAAADQEAAA8A&#10;AAAAAAAAAQAgAAAAIgAAAGRycy9kb3ducmV2LnhtbFBLAQIUABQAAAAIAIdO4kCvweAxUgIAAJEE&#10;AAAOAAAAAAAAAAEAIAAAACUBAABkcnMvZTJvRG9jLnhtbFBLBQYAAAAABgAGAFkBAADpBQAAAAA=&#10;">
                <v:fill on="t" focussize="0,0"/>
                <v:stroke on="f" weight="0.5pt"/>
                <v:imagedata o:title=""/>
                <o:lock v:ext="edit" aspectratio="f"/>
                <v:textbox>
                  <w:txbxContent>
                    <w:p w14:paraId="4AEE9FDF">
                      <w:pPr>
                        <w:rPr>
                          <w:rFonts w:hint="default" w:eastAsia="宋体"/>
                          <w:color w:val="FFFFFF" w:themeColor="background1"/>
                          <w:lang w:val="en-US" w:eastAsia="zh-CN"/>
                          <w14:textFill>
                            <w14:solidFill>
                              <w14:schemeClr w14:val="bg1"/>
                            </w14:solidFill>
                          </w14:textFill>
                        </w:rPr>
                      </w:pPr>
                      <w:r>
                        <w:rPr>
                          <w:rFonts w:hint="eastAsia"/>
                          <w:color w:val="FFFFFF" w:themeColor="background1"/>
                          <w:lang w:val="en-US" w:eastAsia="zh-CN"/>
                          <w14:textFill>
                            <w14:solidFill>
                              <w14:schemeClr w14:val="bg1"/>
                            </w14:solidFill>
                          </w14:textFill>
                        </w:rPr>
                        <w:t xml:space="preserve">    </w:t>
                      </w:r>
                    </w:p>
                  </w:txbxContent>
                </v:textbox>
              </v:shape>
            </w:pict>
          </mc:Fallback>
        </mc:AlternateContent>
      </w:r>
    </w:p>
    <w:p w14:paraId="24F0A50C">
      <w:pPr>
        <w:widowControl/>
        <w:ind w:firstLine="0" w:firstLineChars="0"/>
        <w:jc w:val="center"/>
        <w:rPr>
          <w:rFonts w:ascii="黑体" w:hAnsi="黑体" w:eastAsia="黑体" w:cs="Times New Roman"/>
          <w:b/>
          <w:color w:val="000000" w:themeColor="text1"/>
          <w:sz w:val="48"/>
          <w:szCs w:val="48"/>
          <w14:textFill>
            <w14:solidFill>
              <w14:schemeClr w14:val="tx1"/>
            </w14:solidFill>
          </w14:textFill>
        </w:rPr>
      </w:pPr>
    </w:p>
    <w:p w14:paraId="32B7E531">
      <w:pPr>
        <w:widowControl/>
        <w:ind w:firstLine="0" w:firstLineChars="0"/>
        <w:jc w:val="center"/>
        <w:rPr>
          <w:rFonts w:hint="eastAsia" w:ascii="黑体" w:hAnsi="黑体" w:eastAsia="黑体" w:cs="Times New Roman"/>
          <w:b/>
          <w:color w:val="000000" w:themeColor="text1"/>
          <w:sz w:val="56"/>
          <w:szCs w:val="56"/>
          <w:u w:val="single"/>
          <w:lang w:eastAsia="zh-CN"/>
          <w14:textFill>
            <w14:solidFill>
              <w14:schemeClr w14:val="tx1"/>
            </w14:solidFill>
          </w14:textFill>
        </w:rPr>
      </w:pPr>
      <w:r>
        <w:rPr>
          <w:rFonts w:hint="eastAsia" w:ascii="黑体" w:hAnsi="黑体" w:eastAsia="黑体" w:cs="Times New Roman"/>
          <w:b/>
          <w:color w:val="000000" w:themeColor="text1"/>
          <w:sz w:val="56"/>
          <w:szCs w:val="56"/>
          <w:u w:val="single"/>
          <w:lang w:eastAsia="zh-CN"/>
          <w14:textFill>
            <w14:solidFill>
              <w14:schemeClr w14:val="tx1"/>
            </w14:solidFill>
          </w14:textFill>
        </w:rPr>
        <w:t>广州空港经济区拆迁安置区（花东安置区）教育配套设施建设项目</w:t>
      </w:r>
    </w:p>
    <w:p w14:paraId="3F2B60B0">
      <w:pPr>
        <w:widowControl/>
        <w:ind w:firstLine="0" w:firstLineChars="0"/>
        <w:jc w:val="center"/>
        <w:rPr>
          <w:rFonts w:hint="default" w:ascii="宋体" w:hAnsi="宋体" w:eastAsia="宋体" w:cs="Times New Roman"/>
          <w:b/>
          <w:color w:val="000000" w:themeColor="text1"/>
          <w:sz w:val="72"/>
          <w:szCs w:val="72"/>
          <w:lang w:val="en-US" w:eastAsia="zh-CN"/>
          <w14:textFill>
            <w14:solidFill>
              <w14:schemeClr w14:val="tx1"/>
            </w14:solidFill>
          </w14:textFill>
        </w:rPr>
      </w:pPr>
      <w:r>
        <w:rPr>
          <w:rFonts w:hint="eastAsia" w:ascii="宋体" w:hAnsi="宋体" w:cs="Times New Roman"/>
          <w:b/>
          <w:color w:val="000000" w:themeColor="text1"/>
          <w:sz w:val="72"/>
          <w:szCs w:val="72"/>
          <w:lang w:val="en-US" w:eastAsia="zh-CN"/>
          <w14:textFill>
            <w14:solidFill>
              <w14:schemeClr w14:val="tx1"/>
            </w14:solidFill>
          </w14:textFill>
        </w:rPr>
        <w:t>施工图</w:t>
      </w:r>
    </w:p>
    <w:p w14:paraId="307A93D1">
      <w:pPr>
        <w:widowControl/>
        <w:ind w:firstLine="0" w:firstLineChars="0"/>
        <w:jc w:val="center"/>
        <w:rPr>
          <w:rFonts w:ascii="宋体" w:hAnsi="宋体" w:cs="Times New Roman"/>
          <w:b/>
          <w:color w:val="000000" w:themeColor="text1"/>
          <w:sz w:val="48"/>
          <w:szCs w:val="48"/>
          <w14:textFill>
            <w14:solidFill>
              <w14:schemeClr w14:val="tx1"/>
            </w14:solidFill>
          </w14:textFill>
        </w:rPr>
      </w:pPr>
    </w:p>
    <w:p w14:paraId="39F43BE4">
      <w:pPr>
        <w:widowControl/>
        <w:ind w:firstLine="0" w:firstLineChars="0"/>
        <w:jc w:val="center"/>
        <w:rPr>
          <w:rFonts w:ascii="宋体" w:hAnsi="宋体" w:cs="Times New Roman"/>
          <w:b/>
          <w:color w:val="000000" w:themeColor="text1"/>
          <w:sz w:val="48"/>
          <w:szCs w:val="48"/>
          <w14:textFill>
            <w14:solidFill>
              <w14:schemeClr w14:val="tx1"/>
            </w14:solidFill>
          </w14:textFill>
        </w:rPr>
      </w:pPr>
    </w:p>
    <w:p w14:paraId="39D865B8">
      <w:pPr>
        <w:widowControl/>
        <w:ind w:firstLine="0" w:firstLineChars="0"/>
        <w:jc w:val="center"/>
        <w:rPr>
          <w:rFonts w:ascii="宋体" w:hAnsi="宋体" w:cs="Times New Roman"/>
          <w:b/>
          <w:color w:val="000000" w:themeColor="text1"/>
          <w:sz w:val="48"/>
          <w:szCs w:val="48"/>
          <w14:textFill>
            <w14:solidFill>
              <w14:schemeClr w14:val="tx1"/>
            </w14:solidFill>
          </w14:textFill>
        </w:rPr>
      </w:pPr>
    </w:p>
    <w:p w14:paraId="38F1E8AC">
      <w:pPr>
        <w:widowControl/>
        <w:spacing w:line="1000" w:lineRule="exact"/>
        <w:ind w:firstLine="7560" w:firstLineChars="2100"/>
        <w:rPr>
          <w:rFonts w:ascii="宋体" w:hAnsi="宋体" w:cs="Times New Roman"/>
          <w:bCs/>
          <w:color w:val="000000" w:themeColor="text1"/>
          <w:sz w:val="36"/>
          <w:szCs w:val="36"/>
          <w14:textFill>
            <w14:solidFill>
              <w14:schemeClr w14:val="tx1"/>
            </w14:solidFill>
          </w14:textFill>
        </w:rPr>
      </w:pPr>
      <w:r>
        <w:rPr>
          <w:rFonts w:hint="eastAsia" w:ascii="宋体" w:hAnsi="宋体" w:cs="Times New Roman"/>
          <w:bCs/>
          <w:color w:val="000000" w:themeColor="text1"/>
          <w:sz w:val="36"/>
          <w:szCs w:val="36"/>
          <w14:textFill>
            <w14:solidFill>
              <w14:schemeClr w14:val="tx1"/>
            </w14:solidFill>
          </w14:textFill>
        </w:rPr>
        <w:t xml:space="preserve">审 </w:t>
      </w:r>
      <w:r>
        <w:rPr>
          <w:rFonts w:ascii="宋体" w:hAnsi="宋体" w:cs="Times New Roman"/>
          <w:bCs/>
          <w:color w:val="000000" w:themeColor="text1"/>
          <w:sz w:val="36"/>
          <w:szCs w:val="36"/>
          <w14:textFill>
            <w14:solidFill>
              <w14:schemeClr w14:val="tx1"/>
            </w14:solidFill>
          </w14:textFill>
        </w:rPr>
        <w:t xml:space="preserve">     </w:t>
      </w:r>
      <w:r>
        <w:rPr>
          <w:rFonts w:hint="eastAsia" w:ascii="宋体" w:hAnsi="宋体" w:cs="Times New Roman"/>
          <w:bCs/>
          <w:color w:val="000000" w:themeColor="text1"/>
          <w:sz w:val="36"/>
          <w:szCs w:val="36"/>
          <w14:textFill>
            <w14:solidFill>
              <w14:schemeClr w14:val="tx1"/>
            </w14:solidFill>
          </w14:textFill>
        </w:rPr>
        <w:t>定：陈艳平</w:t>
      </w:r>
      <w:r>
        <w:rPr>
          <w:rFonts w:ascii="宋体" w:hAnsi="宋体" w:cs="Times New Roman"/>
          <w:bCs/>
          <w:color w:val="000000" w:themeColor="text1"/>
          <w:sz w:val="36"/>
          <w:szCs w:val="36"/>
          <w14:textFill>
            <w14:solidFill>
              <w14:schemeClr w14:val="tx1"/>
            </w14:solidFill>
          </w14:textFill>
        </w:rPr>
        <w:t xml:space="preserve">          </w:t>
      </w:r>
    </w:p>
    <w:p w14:paraId="13F9D185">
      <w:pPr>
        <w:widowControl/>
        <w:spacing w:line="1000" w:lineRule="exact"/>
        <w:ind w:firstLine="7560" w:firstLineChars="2100"/>
        <w:rPr>
          <w:rFonts w:ascii="宋体" w:hAnsi="宋体" w:cs="Times New Roman"/>
          <w:bCs/>
          <w:color w:val="000000" w:themeColor="text1"/>
          <w:sz w:val="36"/>
          <w:szCs w:val="36"/>
          <w14:textFill>
            <w14:solidFill>
              <w14:schemeClr w14:val="tx1"/>
            </w14:solidFill>
          </w14:textFill>
        </w:rPr>
      </w:pPr>
      <w:r>
        <w:rPr>
          <w:rFonts w:hint="eastAsia" w:ascii="宋体" w:hAnsi="宋体" w:cs="Times New Roman"/>
          <w:bCs/>
          <w:color w:val="000000" w:themeColor="text1"/>
          <w:sz w:val="36"/>
          <w:szCs w:val="36"/>
          <w14:textFill>
            <w14:solidFill>
              <w14:schemeClr w14:val="tx1"/>
            </w14:solidFill>
          </w14:textFill>
        </w:rPr>
        <w:t xml:space="preserve">审 </w:t>
      </w:r>
      <w:r>
        <w:rPr>
          <w:rFonts w:ascii="宋体" w:hAnsi="宋体" w:cs="Times New Roman"/>
          <w:bCs/>
          <w:color w:val="000000" w:themeColor="text1"/>
          <w:sz w:val="36"/>
          <w:szCs w:val="36"/>
          <w14:textFill>
            <w14:solidFill>
              <w14:schemeClr w14:val="tx1"/>
            </w14:solidFill>
          </w14:textFill>
        </w:rPr>
        <w:t xml:space="preserve">     </w:t>
      </w:r>
      <w:r>
        <w:rPr>
          <w:rFonts w:hint="eastAsia" w:ascii="宋体" w:hAnsi="宋体" w:cs="Times New Roman"/>
          <w:bCs/>
          <w:color w:val="000000" w:themeColor="text1"/>
          <w:sz w:val="36"/>
          <w:szCs w:val="36"/>
          <w14:textFill>
            <w14:solidFill>
              <w14:schemeClr w14:val="tx1"/>
            </w14:solidFill>
          </w14:textFill>
        </w:rPr>
        <w:t>核：</w:t>
      </w:r>
      <w:r>
        <w:rPr>
          <w:rFonts w:hint="eastAsia" w:ascii="宋体" w:hAnsi="宋体" w:cs="Times New Roman"/>
          <w:bCs/>
          <w:color w:val="000000" w:themeColor="text1"/>
          <w:spacing w:val="0"/>
          <w:kern w:val="0"/>
          <w:sz w:val="36"/>
          <w:szCs w:val="36"/>
          <w:fitText w:val="1080" w:id="397370008"/>
          <w14:textFill>
            <w14:solidFill>
              <w14:schemeClr w14:val="tx1"/>
            </w14:solidFill>
          </w14:textFill>
        </w:rPr>
        <w:t>邹尧青</w:t>
      </w:r>
      <w:r>
        <w:rPr>
          <w:rFonts w:hint="eastAsia" w:ascii="宋体" w:hAnsi="宋体" w:cs="Times New Roman"/>
          <w:bCs/>
          <w:color w:val="000000" w:themeColor="text1"/>
          <w:sz w:val="36"/>
          <w:szCs w:val="36"/>
          <w14:textFill>
            <w14:solidFill>
              <w14:schemeClr w14:val="tx1"/>
            </w14:solidFill>
          </w14:textFill>
        </w:rPr>
        <w:t xml:space="preserve"> </w:t>
      </w:r>
      <w:r>
        <w:rPr>
          <w:rFonts w:ascii="宋体" w:hAnsi="宋体" w:cs="Times New Roman"/>
          <w:bCs/>
          <w:color w:val="000000" w:themeColor="text1"/>
          <w:sz w:val="36"/>
          <w:szCs w:val="36"/>
          <w14:textFill>
            <w14:solidFill>
              <w14:schemeClr w14:val="tx1"/>
            </w14:solidFill>
          </w14:textFill>
        </w:rPr>
        <w:t xml:space="preserve">            </w:t>
      </w:r>
    </w:p>
    <w:p w14:paraId="3B901063">
      <w:pPr>
        <w:widowControl/>
        <w:spacing w:line="1000" w:lineRule="exact"/>
        <w:ind w:firstLine="7560" w:firstLineChars="2100"/>
        <w:rPr>
          <w:rFonts w:ascii="宋体" w:hAnsi="宋体" w:cs="Times New Roman"/>
          <w:bCs/>
          <w:color w:val="000000" w:themeColor="text1"/>
          <w:sz w:val="36"/>
          <w:szCs w:val="36"/>
          <w14:textFill>
            <w14:solidFill>
              <w14:schemeClr w14:val="tx1"/>
            </w14:solidFill>
          </w14:textFill>
        </w:rPr>
      </w:pPr>
      <w:r>
        <w:rPr>
          <w:rFonts w:hint="eastAsia" w:ascii="宋体" w:hAnsi="宋体" w:cs="Times New Roman"/>
          <w:bCs/>
          <w:color w:val="000000" w:themeColor="text1"/>
          <w:sz w:val="36"/>
          <w:szCs w:val="36"/>
          <w14:textFill>
            <w14:solidFill>
              <w14:schemeClr w14:val="tx1"/>
            </w14:solidFill>
          </w14:textFill>
        </w:rPr>
        <w:t>项目总负责：</w:t>
      </w:r>
      <w:r>
        <w:rPr>
          <w:rFonts w:hint="eastAsia" w:ascii="宋体" w:hAnsi="宋体" w:cs="Times New Roman"/>
          <w:bCs/>
          <w:color w:val="000000" w:themeColor="text1"/>
          <w:spacing w:val="180"/>
          <w:kern w:val="0"/>
          <w:sz w:val="36"/>
          <w:szCs w:val="36"/>
          <w:fitText w:val="1080" w:id="1562516778"/>
          <w14:textFill>
            <w14:solidFill>
              <w14:schemeClr w14:val="tx1"/>
            </w14:solidFill>
          </w14:textFill>
        </w:rPr>
        <w:t>陈</w:t>
      </w:r>
      <w:r>
        <w:rPr>
          <w:rFonts w:hint="eastAsia" w:ascii="宋体" w:hAnsi="宋体" w:cs="Times New Roman"/>
          <w:bCs/>
          <w:color w:val="000000" w:themeColor="text1"/>
          <w:spacing w:val="0"/>
          <w:kern w:val="0"/>
          <w:sz w:val="36"/>
          <w:szCs w:val="36"/>
          <w:fitText w:val="1080" w:id="1562516778"/>
          <w14:textFill>
            <w14:solidFill>
              <w14:schemeClr w14:val="tx1"/>
            </w14:solidFill>
          </w14:textFill>
        </w:rPr>
        <w:t>军</w:t>
      </w:r>
      <w:r>
        <w:rPr>
          <w:rFonts w:hint="eastAsia" w:ascii="宋体" w:hAnsi="宋体" w:cs="Times New Roman"/>
          <w:bCs/>
          <w:color w:val="000000" w:themeColor="text1"/>
          <w:sz w:val="36"/>
          <w:szCs w:val="36"/>
          <w14:textFill>
            <w14:solidFill>
              <w14:schemeClr w14:val="tx1"/>
            </w14:solidFill>
          </w14:textFill>
        </w:rPr>
        <w:t xml:space="preserve"> </w:t>
      </w:r>
      <w:r>
        <w:rPr>
          <w:rFonts w:ascii="宋体" w:hAnsi="宋体" w:cs="Times New Roman"/>
          <w:bCs/>
          <w:color w:val="000000" w:themeColor="text1"/>
          <w:sz w:val="36"/>
          <w:szCs w:val="36"/>
          <w14:textFill>
            <w14:solidFill>
              <w14:schemeClr w14:val="tx1"/>
            </w14:solidFill>
          </w14:textFill>
        </w:rPr>
        <w:t xml:space="preserve">         </w:t>
      </w:r>
    </w:p>
    <w:p w14:paraId="15B5C888">
      <w:pPr>
        <w:widowControl/>
        <w:ind w:firstLine="0" w:firstLineChars="0"/>
        <w:jc w:val="left"/>
        <w:rPr>
          <w:rFonts w:ascii="宋体" w:hAnsi="宋体" w:cs="Times New Roman"/>
          <w:b/>
          <w:color w:val="000000" w:themeColor="text1"/>
          <w:sz w:val="48"/>
          <w:szCs w:val="48"/>
          <w14:textFill>
            <w14:solidFill>
              <w14:schemeClr w14:val="tx1"/>
            </w14:solidFill>
          </w14:textFill>
        </w:rPr>
      </w:pPr>
    </w:p>
    <w:p w14:paraId="65EC524C">
      <w:pPr>
        <w:widowControl/>
        <w:ind w:firstLine="0" w:firstLineChars="0"/>
        <w:jc w:val="left"/>
        <w:rPr>
          <w:rFonts w:ascii="宋体" w:hAnsi="宋体"/>
          <w:b/>
          <w:color w:val="000000" w:themeColor="text1"/>
          <w:sz w:val="48"/>
          <w:szCs w:val="48"/>
          <w14:textFill>
            <w14:solidFill>
              <w14:schemeClr w14:val="tx1"/>
            </w14:solidFill>
          </w14:textFill>
        </w:rPr>
      </w:pPr>
    </w:p>
    <w:p w14:paraId="0AA614BF">
      <w:pPr>
        <w:widowControl/>
        <w:ind w:firstLine="0" w:firstLineChars="0"/>
        <w:jc w:val="center"/>
        <w:rPr>
          <w:rFonts w:ascii="宋体" w:hAnsi="宋体"/>
          <w:b/>
          <w:color w:val="000000" w:themeColor="text1"/>
          <w:sz w:val="48"/>
          <w:szCs w:val="48"/>
          <w14:textFill>
            <w14:solidFill>
              <w14:schemeClr w14:val="tx1"/>
            </w14:solidFill>
          </w14:textFill>
        </w:rPr>
      </w:pPr>
      <w:r>
        <w:rPr>
          <w:color w:val="000000" w:themeColor="text1"/>
          <w14:textFill>
            <w14:solidFill>
              <w14:schemeClr w14:val="tx1"/>
            </w14:solidFill>
          </w14:textFill>
        </w:rPr>
        <w:drawing>
          <wp:inline distT="0" distB="0" distL="114300" distR="114300">
            <wp:extent cx="5400040" cy="1143000"/>
            <wp:effectExtent l="0" t="0" r="1016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5400040" cy="1143000"/>
                    </a:xfrm>
                    <a:prstGeom prst="rect">
                      <a:avLst/>
                    </a:prstGeom>
                    <a:noFill/>
                    <a:ln>
                      <a:noFill/>
                    </a:ln>
                  </pic:spPr>
                </pic:pic>
              </a:graphicData>
            </a:graphic>
          </wp:inline>
        </w:drawing>
      </w:r>
    </w:p>
    <w:p w14:paraId="6EF0666B">
      <w:pPr>
        <w:widowControl/>
        <w:ind w:firstLine="0" w:firstLineChars="0"/>
        <w:jc w:val="center"/>
        <w:rPr>
          <w:rFonts w:ascii="宋体" w:hAnsi="宋体"/>
          <w:b/>
          <w:color w:val="000000" w:themeColor="text1"/>
          <w:sz w:val="32"/>
          <w:szCs w:val="32"/>
          <w14:textFill>
            <w14:solidFill>
              <w14:schemeClr w14:val="tx1"/>
            </w14:solidFill>
          </w14:textFill>
        </w:rPr>
      </w:pPr>
    </w:p>
    <w:p w14:paraId="15018BF9">
      <w:pPr>
        <w:widowControl/>
        <w:ind w:firstLine="0" w:firstLineChars="0"/>
        <w:jc w:val="center"/>
        <w:rPr>
          <w:rFonts w:hint="eastAsia" w:ascii="宋体" w:hAnsi="宋体" w:eastAsia="宋体" w:cs="Times New Roman"/>
          <w:b/>
          <w:color w:val="000000" w:themeColor="text1"/>
          <w:sz w:val="32"/>
          <w:szCs w:val="32"/>
          <w:lang w:val="en-US" w:eastAsia="zh-CN"/>
          <w14:textFill>
            <w14:solidFill>
              <w14:schemeClr w14:val="tx1"/>
            </w14:solidFill>
          </w14:textFill>
        </w:rPr>
      </w:pPr>
      <w:r>
        <w:rPr>
          <w:rFonts w:hint="eastAsia" w:ascii="宋体" w:hAnsi="宋体"/>
          <w:b/>
          <w:color w:val="000000" w:themeColor="text1"/>
          <w:sz w:val="32"/>
          <w:szCs w:val="32"/>
          <w:lang w:eastAsia="zh-CN"/>
          <w14:textFill>
            <w14:solidFill>
              <w14:schemeClr w14:val="tx1"/>
            </w14:solidFill>
          </w14:textFill>
        </w:rPr>
        <w:t>2025-03</w:t>
      </w:r>
    </w:p>
    <w:p w14:paraId="37C7ECD7">
      <w:pPr>
        <w:ind w:firstLine="480"/>
        <w:rPr>
          <w:color w:val="000000" w:themeColor="text1"/>
          <w14:textFill>
            <w14:solidFill>
              <w14:schemeClr w14:val="tx1"/>
            </w14:solidFill>
          </w14:textFill>
        </w:rPr>
      </w:pPr>
    </w:p>
    <w:p w14:paraId="2FAAC8AC">
      <w:pPr>
        <w:ind w:firstLine="0" w:firstLineChars="0"/>
        <w:jc w:val="both"/>
        <w:rPr>
          <w:rFonts w:hint="eastAsia"/>
          <w:b/>
          <w:bCs/>
          <w:color w:val="000000" w:themeColor="text1"/>
          <w:sz w:val="36"/>
          <w:szCs w:val="36"/>
          <w14:textFill>
            <w14:solidFill>
              <w14:schemeClr w14:val="tx1"/>
            </w14:solidFill>
          </w14:textFill>
        </w:rPr>
      </w:pPr>
      <w:r>
        <w:rPr>
          <w:color w:val="000000" w:themeColor="text1"/>
          <w:sz w:val="36"/>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-896620</wp:posOffset>
                </wp:positionH>
                <wp:positionV relativeFrom="paragraph">
                  <wp:posOffset>113665</wp:posOffset>
                </wp:positionV>
                <wp:extent cx="15120620" cy="1393190"/>
                <wp:effectExtent l="0" t="0" r="5080" b="16510"/>
                <wp:wrapNone/>
                <wp:docPr id="3" name="文本框 3"/>
                <wp:cNvGraphicFramePr/>
                <a:graphic xmlns:a="http://schemas.openxmlformats.org/drawingml/2006/main">
                  <a:graphicData uri="http://schemas.microsoft.com/office/word/2010/wordprocessingShape">
                    <wps:wsp>
                      <wps:cNvSpPr txBox="1"/>
                      <wps:spPr>
                        <a:xfrm>
                          <a:off x="3387090" y="6758940"/>
                          <a:ext cx="15120620" cy="1393190"/>
                        </a:xfrm>
                        <a:prstGeom prst="rect">
                          <a:avLst/>
                        </a:prstGeom>
                        <a:solidFill>
                          <a:schemeClr val="bg1"/>
                        </a:solidFill>
                        <a:ln w="6350">
                          <a:noFill/>
                        </a:ln>
                      </wps:spPr>
                      <wps:style>
                        <a:lnRef idx="0">
                          <a:schemeClr val="accent1"/>
                        </a:lnRef>
                        <a:fillRef idx="0">
                          <a:schemeClr val="accent1"/>
                        </a:fillRef>
                        <a:effectRef idx="0">
                          <a:schemeClr val="accent1"/>
                        </a:effectRef>
                        <a:fontRef idx="minor">
                          <a:schemeClr val="dk1"/>
                        </a:fontRef>
                      </wps:style>
                      <wps:txbx>
                        <w:txbxContent>
                          <w:p w14:paraId="7C1939DE">
                            <w:pPr>
                              <w:rPr>
                                <w:color w:val="FFFFFF" w:themeColor="background1"/>
                                <w14:textFill>
                                  <w14:solidFill>
                                    <w14:schemeClr w14:val="bg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0.6pt;margin-top:8.95pt;height:109.7pt;width:1190.6pt;z-index:251659264;mso-width-relative:page;mso-height-relative:page;" fillcolor="#FFFFFF [3212]" filled="t" stroked="f" coordsize="21600,21600" o:gfxdata="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pEN1M&#10;1gAAAAwBAAAPAAAAAAAAAAEAIAAAACIAAABkcnMvZG93bnJldi54bWxQSwECFAAUAAAACACHTuJA&#10;tRAo01wCAACdBAAADgAAAAAAAAABACAAAAAlAQAAZHJzL2Uyb0RvYy54bWxQSwUGAAAAAAYABgBZ&#10;AQAA8wUAAAAA&#10;">
                <v:fill on="t" focussize="0,0"/>
                <v:stroke on="f" weight="0.5pt"/>
                <v:imagedata o:title=""/>
                <o:lock v:ext="edit" aspectratio="f"/>
                <v:textbox>
                  <w:txbxContent>
                    <w:p w14:paraId="7C1939DE">
                      <w:pPr>
                        <w:rPr>
                          <w:color w:val="FFFFFF" w:themeColor="background1"/>
                          <w14:textFill>
                            <w14:solidFill>
                              <w14:schemeClr w14:val="bg1"/>
                            </w14:solidFill>
                          </w14:textFill>
                        </w:rPr>
                      </w:pPr>
                    </w:p>
                  </w:txbxContent>
                </v:textbox>
              </v:shape>
            </w:pict>
          </mc:Fallback>
        </mc:AlternateContent>
      </w:r>
    </w:p>
    <w:p w14:paraId="121474CE">
      <w:pPr>
        <w:ind w:firstLine="0" w:firstLineChars="0"/>
        <w:jc w:val="both"/>
        <w:rPr>
          <w:rFonts w:hint="eastAsia"/>
          <w:b/>
          <w:bCs/>
          <w:color w:val="000000" w:themeColor="text1"/>
          <w:sz w:val="36"/>
          <w:szCs w:val="36"/>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23811" w:h="16838" w:orient="landscape"/>
          <w:pgMar w:top="1418" w:right="1440" w:bottom="1134" w:left="1440" w:header="680" w:footer="737" w:gutter="0"/>
          <w:pgNumType w:fmt="decimal" w:start="1"/>
          <w:cols w:space="425" w:num="1"/>
          <w:docGrid w:type="lines" w:linePitch="326" w:charSpace="0"/>
        </w:sectPr>
      </w:pPr>
    </w:p>
    <w:p w14:paraId="78E28F5A">
      <w:pPr>
        <w:ind w:firstLine="0" w:firstLineChars="0"/>
        <w:jc w:val="center"/>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b/>
          <w:bCs/>
          <w:color w:val="000000" w:themeColor="text1"/>
          <w:sz w:val="36"/>
          <w:szCs w:val="36"/>
          <w14:textFill>
            <w14:solidFill>
              <w14:schemeClr w14:val="tx1"/>
            </w14:solidFill>
          </w14:textFill>
        </w:rPr>
        <w:t>照明工程设计说明</w:t>
      </w:r>
    </w:p>
    <w:p w14:paraId="3985108D">
      <w:pPr>
        <w:pStyle w:val="3"/>
        <w:spacing w:before="163" w:after="163"/>
        <w:ind w:firstLine="602"/>
        <w:rPr>
          <w:rFonts w:hint="eastAsia" w:ascii="宋体" w:hAnsi="宋体" w:eastAsia="宋体" w:cs="宋体"/>
          <w:color w:val="000000" w:themeColor="text1"/>
          <w:sz w:val="24"/>
          <w:szCs w:val="24"/>
          <w14:textFill>
            <w14:solidFill>
              <w14:schemeClr w14:val="tx1"/>
            </w14:solidFill>
          </w14:textFill>
        </w:rPr>
      </w:pPr>
      <w:bookmarkStart w:id="1" w:name="_Toc76744995"/>
      <w:r>
        <w:rPr>
          <w:rFonts w:hint="eastAsia" w:ascii="宋体" w:hAnsi="宋体" w:eastAsia="宋体" w:cs="宋体"/>
          <w:color w:val="000000" w:themeColor="text1"/>
          <w:sz w:val="24"/>
          <w:szCs w:val="24"/>
          <w14:textFill>
            <w14:solidFill>
              <w14:schemeClr w14:val="tx1"/>
            </w14:solidFill>
          </w14:textFill>
        </w:rPr>
        <w:t>工程概况</w:t>
      </w:r>
      <w:bookmarkEnd w:id="1"/>
    </w:p>
    <w:p w14:paraId="3D41CA13">
      <w:pPr>
        <w:ind w:firstLine="480"/>
        <w:rPr>
          <w:rFonts w:hint="eastAsia" w:ascii="宋体" w:hAnsi="宋体" w:eastAsia="宋体" w:cs="宋体"/>
          <w:color w:val="000000" w:themeColor="text1"/>
          <w:spacing w:val="1"/>
          <w:sz w:val="24"/>
          <w:szCs w:val="24"/>
          <w:lang w:val="en-US" w:eastAsia="zh-CN"/>
          <w14:textFill>
            <w14:solidFill>
              <w14:schemeClr w14:val="tx1"/>
            </w14:solidFill>
          </w14:textFill>
        </w:rPr>
      </w:pPr>
      <w:bookmarkStart w:id="2" w:name="_Hlk66960137"/>
      <w:r>
        <w:rPr>
          <w:rFonts w:hint="eastAsia" w:ascii="宋体" w:hAnsi="宋体" w:eastAsia="宋体" w:cs="宋体"/>
          <w:color w:val="000000" w:themeColor="text1"/>
          <w:sz w:val="24"/>
          <w:szCs w:val="24"/>
          <w14:textFill>
            <w14:solidFill>
              <w14:schemeClr w14:val="tx1"/>
            </w14:solidFill>
          </w14:textFill>
        </w:rPr>
        <w:t>本项目市政道路建设工程位于广州市花都区花东镇（</w:t>
      </w:r>
      <w:r>
        <w:rPr>
          <w:rFonts w:hint="eastAsia" w:ascii="宋体" w:hAnsi="宋体" w:eastAsia="宋体" w:cs="宋体"/>
          <w:bCs/>
          <w:color w:val="000000" w:themeColor="text1"/>
          <w:sz w:val="24"/>
          <w:szCs w:val="24"/>
          <w14:textFill>
            <w14:solidFill>
              <w14:schemeClr w14:val="tx1"/>
            </w14:solidFill>
          </w14:textFill>
        </w:rPr>
        <w:t>花都大道及机场北进场路交叉口东北侧），临近迳口中学</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snapToGrid w:val="0"/>
          <w:color w:val="000000" w:themeColor="text1"/>
          <w:sz w:val="24"/>
          <w:szCs w:val="24"/>
          <w14:textFill>
            <w14:solidFill>
              <w14:schemeClr w14:val="tx1"/>
            </w14:solidFill>
          </w14:textFill>
        </w:rPr>
        <w:t>根据规划及项目征地红线，</w:t>
      </w:r>
      <w:r>
        <w:rPr>
          <w:rFonts w:hint="eastAsia" w:ascii="宋体" w:hAnsi="宋体" w:eastAsia="宋体" w:cs="宋体"/>
          <w:color w:val="000000" w:themeColor="text1"/>
          <w:spacing w:val="1"/>
          <w:sz w:val="24"/>
          <w:szCs w:val="24"/>
          <w14:textFill>
            <w14:solidFill>
              <w14:schemeClr w14:val="tx1"/>
            </w14:solidFill>
          </w14:textFill>
        </w:rPr>
        <w:t>本项目有1条市政道路纳入工程建设范围，为永安东路（机场北进场路至支路四）</w:t>
      </w:r>
      <w:r>
        <w:rPr>
          <w:rFonts w:hint="eastAsia" w:ascii="宋体" w:hAnsi="宋体" w:eastAsia="宋体" w:cs="宋体"/>
          <w:color w:val="000000" w:themeColor="text1"/>
          <w:sz w:val="24"/>
          <w:szCs w:val="24"/>
          <w14:textFill>
            <w14:solidFill>
              <w14:schemeClr w14:val="tx1"/>
            </w14:solidFill>
          </w14:textFill>
        </w:rPr>
        <w:t>。</w:t>
      </w:r>
      <w:bookmarkStart w:id="3" w:name="_Hlk66971163"/>
      <w:r>
        <w:rPr>
          <w:rFonts w:hint="eastAsia" w:ascii="宋体" w:hAnsi="宋体" w:eastAsia="宋体" w:cs="宋体"/>
          <w:color w:val="000000" w:themeColor="text1"/>
          <w:spacing w:val="1"/>
          <w:sz w:val="24"/>
          <w:szCs w:val="24"/>
          <w14:textFill>
            <w14:solidFill>
              <w14:schemeClr w14:val="tx1"/>
            </w14:solidFill>
          </w14:textFill>
        </w:rPr>
        <w:t>永安东路，采</w:t>
      </w:r>
      <w:r>
        <w:rPr>
          <w:rFonts w:hint="eastAsia" w:ascii="宋体" w:hAnsi="宋体" w:eastAsia="宋体" w:cs="宋体"/>
          <w:color w:val="000000" w:themeColor="text1"/>
          <w:spacing w:val="3"/>
          <w:sz w:val="24"/>
          <w:szCs w:val="24"/>
          <w14:textFill>
            <w14:solidFill>
              <w14:schemeClr w14:val="tx1"/>
            </w14:solidFill>
          </w14:textFill>
        </w:rPr>
        <w:t>用城市次干路标准设计，设计时速</w:t>
      </w:r>
      <w:r>
        <w:rPr>
          <w:rFonts w:hint="eastAsia" w:ascii="宋体" w:hAnsi="宋体" w:eastAsia="宋体" w:cs="宋体"/>
          <w:color w:val="000000" w:themeColor="text1"/>
          <w:spacing w:val="2"/>
          <w:sz w:val="24"/>
          <w:szCs w:val="24"/>
          <w14:textFill>
            <w14:solidFill>
              <w14:schemeClr w14:val="tx1"/>
            </w14:solidFill>
          </w14:textFill>
        </w:rPr>
        <w:t>为</w:t>
      </w:r>
      <w:r>
        <w:rPr>
          <w:rFonts w:hint="eastAsia" w:ascii="宋体" w:hAnsi="宋体" w:eastAsia="宋体" w:cs="宋体"/>
          <w:color w:val="000000" w:themeColor="text1"/>
          <w:sz w:val="24"/>
          <w:szCs w:val="24"/>
          <w14:textFill>
            <w14:solidFill>
              <w14:schemeClr w14:val="tx1"/>
            </w14:solidFill>
          </w14:textFill>
        </w:rPr>
        <w:t>40km/h，</w:t>
      </w:r>
      <w:r>
        <w:rPr>
          <w:rFonts w:hint="eastAsia" w:ascii="宋体" w:hAnsi="宋体" w:eastAsia="宋体" w:cs="宋体"/>
          <w:color w:val="000000" w:themeColor="text1"/>
          <w:spacing w:val="4"/>
          <w:sz w:val="24"/>
          <w:szCs w:val="24"/>
          <w14:textFill>
            <w14:solidFill>
              <w14:schemeClr w14:val="tx1"/>
            </w14:solidFill>
          </w14:textFill>
        </w:rPr>
        <w:t>双向六车道。</w:t>
      </w:r>
    </w:p>
    <w:bookmarkEnd w:id="3"/>
    <w:p w14:paraId="36ED6C34">
      <w:pPr>
        <w:ind w:firstLine="480"/>
        <w:jc w:val="both"/>
        <w:rPr>
          <w:rFonts w:hint="eastAsia" w:ascii="宋体" w:hAnsi="宋体" w:eastAsia="宋体" w:cs="宋体"/>
          <w:b w:val="0"/>
          <w:bCs w:val="0"/>
          <w:color w:val="000000" w:themeColor="text1"/>
          <w:spacing w:val="4"/>
          <w:sz w:val="24"/>
          <w:szCs w:val="24"/>
          <w:lang w:val="en-US" w:eastAsia="zh-CN"/>
          <w14:textFill>
            <w14:solidFill>
              <w14:schemeClr w14:val="tx1"/>
            </w14:solidFill>
          </w14:textFill>
        </w:rPr>
      </w:pPr>
      <w:r>
        <w:rPr>
          <w:rFonts w:hint="eastAsia" w:ascii="宋体" w:hAnsi="宋体" w:eastAsia="宋体" w:cs="宋体"/>
          <w:b/>
          <w:bCs/>
          <w:color w:val="000000" w:themeColor="text1"/>
          <w:spacing w:val="4"/>
          <w:sz w:val="24"/>
          <w:szCs w:val="24"/>
          <w:lang w:val="en-US" w:eastAsia="zh-CN"/>
          <w14:textFill>
            <w14:solidFill>
              <w14:schemeClr w14:val="tx1"/>
            </w14:solidFill>
          </w14:textFill>
        </w:rPr>
        <w:t>永安东路工程范围共分为两部分实施，其中本次设计范围为永安东路左半幅K0+259.439~K0+350.367，长度约90.9m，宽度约25m；</w:t>
      </w:r>
      <w:r>
        <w:rPr>
          <w:rFonts w:hint="eastAsia" w:ascii="宋体" w:hAnsi="宋体" w:eastAsia="宋体" w:cs="宋体"/>
          <w:b w:val="0"/>
          <w:bCs w:val="0"/>
          <w:color w:val="000000" w:themeColor="text1"/>
          <w:spacing w:val="4"/>
          <w:sz w:val="24"/>
          <w:szCs w:val="24"/>
          <w:lang w:val="en-US" w:eastAsia="zh-CN"/>
          <w14:textFill>
            <w14:solidFill>
              <w14:schemeClr w14:val="tx1"/>
            </w14:solidFill>
          </w14:textFill>
        </w:rPr>
        <w:t>另外部分（K0+048.096~K0+259.</w:t>
      </w:r>
    </w:p>
    <w:p w14:paraId="32041286">
      <w:pPr>
        <w:ind w:left="0" w:leftChars="0" w:firstLine="0" w:firstLineChars="0"/>
        <w:jc w:val="both"/>
        <w:rPr>
          <w:rFonts w:hint="eastAsia" w:ascii="宋体" w:hAnsi="宋体" w:eastAsia="宋体" w:cs="宋体"/>
          <w:b w:val="0"/>
          <w:bCs w:val="0"/>
          <w:color w:val="000000" w:themeColor="text1"/>
          <w:spacing w:val="4"/>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4"/>
          <w:sz w:val="24"/>
          <w:szCs w:val="24"/>
          <w:lang w:val="en-US" w:eastAsia="zh-CN"/>
          <w14:textFill>
            <w14:solidFill>
              <w14:schemeClr w14:val="tx1"/>
            </w14:solidFill>
          </w14:textFill>
        </w:rPr>
        <w:t>439整幅、K0+259.439~K0+350.367右半幅）由广州空港经济区起步区拆迁安置区（花东安置区）一期工程项目实施，目前由广州空港经济区起步区拆迁安置区（花东安置区）一期工程项目已正在施工。</w:t>
      </w:r>
    </w:p>
    <w:p w14:paraId="551247BC">
      <w:pPr>
        <w:ind w:firstLine="480"/>
        <w:rPr>
          <w:rFonts w:hint="eastAsia" w:ascii="宋体" w:hAnsi="宋体" w:eastAsia="宋体" w:cs="宋体"/>
          <w:b w:val="0"/>
          <w:bCs w:val="0"/>
          <w:color w:val="000000" w:themeColor="text1"/>
          <w:spacing w:val="4"/>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4"/>
          <w:sz w:val="24"/>
          <w:szCs w:val="24"/>
          <w:lang w:val="en-US" w:eastAsia="zh-CN"/>
          <w14:textFill>
            <w14:solidFill>
              <w14:schemeClr w14:val="tx1"/>
            </w14:solidFill>
          </w14:textFill>
        </w:rPr>
        <w:t>市政配套主要建设内容包括：道路工程、交通工程、给水工程、排水工程、海绵城市、照明工程、绿化工程、临时道路工程。</w:t>
      </w:r>
    </w:p>
    <w:p w14:paraId="72B7C816">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高程系统采用广州城建高程系统，坐标系采用广州2000坐标系统</w:t>
      </w:r>
      <w:bookmarkEnd w:id="2"/>
      <w:r>
        <w:rPr>
          <w:rFonts w:hint="eastAsia" w:ascii="宋体" w:hAnsi="宋体" w:eastAsia="宋体" w:cs="宋体"/>
          <w:color w:val="000000" w:themeColor="text1"/>
          <w:sz w:val="24"/>
          <w:szCs w:val="24"/>
          <w14:textFill>
            <w14:solidFill>
              <w14:schemeClr w14:val="tx1"/>
            </w14:solidFill>
          </w14:textFill>
        </w:rPr>
        <w:t>。</w:t>
      </w:r>
    </w:p>
    <w:p w14:paraId="67C0A05E">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本册图纸为第</w:t>
      </w:r>
      <w:r>
        <w:rPr>
          <w:rFonts w:hint="eastAsia" w:ascii="宋体" w:hAnsi="宋体" w:eastAsia="宋体" w:cs="宋体"/>
          <w:bCs/>
          <w:color w:val="000000" w:themeColor="text1"/>
          <w:sz w:val="24"/>
          <w:szCs w:val="24"/>
          <w:lang w:val="en-US" w:eastAsia="zh-CN"/>
          <w14:textFill>
            <w14:solidFill>
              <w14:schemeClr w14:val="tx1"/>
            </w14:solidFill>
          </w14:textFill>
        </w:rPr>
        <w:t>六</w:t>
      </w:r>
      <w:r>
        <w:rPr>
          <w:rFonts w:hint="eastAsia" w:ascii="宋体" w:hAnsi="宋体" w:eastAsia="宋体" w:cs="宋体"/>
          <w:bCs/>
          <w:color w:val="000000" w:themeColor="text1"/>
          <w:sz w:val="24"/>
          <w:szCs w:val="24"/>
          <w14:textFill>
            <w14:solidFill>
              <w14:schemeClr w14:val="tx1"/>
            </w14:solidFill>
          </w14:textFill>
        </w:rPr>
        <w:t>册：</w:t>
      </w:r>
      <w:r>
        <w:rPr>
          <w:rFonts w:hint="eastAsia" w:ascii="宋体" w:hAnsi="宋体" w:eastAsia="宋体" w:cs="宋体"/>
          <w:bCs/>
          <w:color w:val="000000" w:themeColor="text1"/>
          <w:sz w:val="24"/>
          <w:szCs w:val="24"/>
          <w:lang w:val="en-US" w:eastAsia="zh-CN"/>
          <w14:textFill>
            <w14:solidFill>
              <w14:schemeClr w14:val="tx1"/>
            </w14:solidFill>
          </w14:textFill>
        </w:rPr>
        <w:t>照明</w:t>
      </w:r>
      <w:r>
        <w:rPr>
          <w:rFonts w:hint="eastAsia" w:ascii="宋体" w:hAnsi="宋体" w:eastAsia="宋体" w:cs="宋体"/>
          <w:bCs/>
          <w:color w:val="000000" w:themeColor="text1"/>
          <w:sz w:val="24"/>
          <w:szCs w:val="24"/>
          <w14:textFill>
            <w14:solidFill>
              <w14:schemeClr w14:val="tx1"/>
            </w14:solidFill>
          </w14:textFill>
        </w:rPr>
        <w:t>工程。</w:t>
      </w:r>
    </w:p>
    <w:p w14:paraId="7248D3C6">
      <w:pPr>
        <w:pStyle w:val="3"/>
        <w:spacing w:before="163" w:after="163"/>
        <w:ind w:firstLine="602"/>
        <w:rPr>
          <w:rFonts w:hint="eastAsia" w:ascii="宋体" w:hAnsi="宋体" w:eastAsia="宋体" w:cs="宋体"/>
          <w:color w:val="000000" w:themeColor="text1"/>
          <w:sz w:val="24"/>
          <w:szCs w:val="24"/>
          <w14:textFill>
            <w14:solidFill>
              <w14:schemeClr w14:val="tx1"/>
            </w14:solidFill>
          </w14:textFill>
        </w:rPr>
      </w:pPr>
      <w:bookmarkStart w:id="4" w:name="_Toc71902202"/>
      <w:bookmarkStart w:id="5" w:name="_Toc76744998"/>
      <w:r>
        <w:rPr>
          <w:rFonts w:hint="eastAsia" w:ascii="宋体" w:hAnsi="宋体" w:eastAsia="宋体" w:cs="宋体"/>
          <w:color w:val="000000" w:themeColor="text1"/>
          <w:sz w:val="24"/>
          <w:szCs w:val="24"/>
          <w14:textFill>
            <w14:solidFill>
              <w14:schemeClr w14:val="tx1"/>
            </w14:solidFill>
          </w14:textFill>
        </w:rPr>
        <w:t>道路照明的标准</w:t>
      </w:r>
      <w:bookmarkEnd w:id="4"/>
      <w:bookmarkEnd w:id="5"/>
    </w:p>
    <w:p w14:paraId="04C950EA">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市政道路照明的质量一般由以下方面因素确定：</w:t>
      </w:r>
    </w:p>
    <w:p w14:paraId="370D26EB">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（1）路面平均亮度（照度）</w:t>
      </w:r>
    </w:p>
    <w:p w14:paraId="767A0FA7">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路面平均亮度、照度是影响能否看见障碍物的最重要因素，道路照明最根本原则就是以把路面照亮，使行人和驾驶者看清道路走向及障碍物轮廓。其主要是由照明器具的功率及布置方式所决定。</w:t>
      </w:r>
    </w:p>
    <w:p w14:paraId="06C9E866">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（2）路面亮度（照度）均匀度</w:t>
      </w:r>
    </w:p>
    <w:p w14:paraId="131B94A0">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路面均匀度反映了道路照明的明暗变化程度。路面的明暗均匀性直接影响着行人及驾驶者的视觉距离。其主要由灯具型式、光源种类和布置方式所决定。</w:t>
      </w:r>
    </w:p>
    <w:p w14:paraId="0B8A12BC">
      <w:pPr>
        <w:ind w:left="480" w:firstLine="0" w:firstLineChars="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（3）路面亮度总均匀度</w:t>
      </w:r>
    </w:p>
    <w:p w14:paraId="71E210E8">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路面上最小亮度与平均亮度的比值。</w:t>
      </w:r>
    </w:p>
    <w:p w14:paraId="18659FA3">
      <w:pPr>
        <w:ind w:left="480" w:firstLine="0" w:firstLineChars="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（4）舒适度</w:t>
      </w:r>
    </w:p>
    <w:p w14:paraId="46147167">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眩光是影响道路照明质量的最主要因素，对舒适度标准的要求主要是通过眩光限制来实现的。在满足道路平均亮度、均匀度要求的前提下，必须采用截光型或半截光型灯具，降低或防止眩光。除此之外，光源色温和显色性也是影响舒适度的重要因素。平均亮度、纵向均匀度和环境比是舒适度的主要指标。</w:t>
      </w:r>
    </w:p>
    <w:p w14:paraId="2348F435">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（5）诱导性</w:t>
      </w:r>
    </w:p>
    <w:p w14:paraId="6936CD31">
      <w:pPr>
        <w:pStyle w:val="5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恰当布置的照明器具，能从视觉上给行人和司机提供道路准确信息。</w:t>
      </w:r>
    </w:p>
    <w:p w14:paraId="23185881">
      <w:pPr>
        <w:pStyle w:val="5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从满足视觉要求的基本点出发，并根据相关规划、《城市道路照明设计标准》、建设部《节约能源－城市绿色照明示范工程》的评价指标－城市的道路交通的功能和景观照明的相关内容。</w:t>
      </w:r>
    </w:p>
    <w:p w14:paraId="73A97792">
      <w:pPr>
        <w:pStyle w:val="33"/>
        <w:numPr>
          <w:ilvl w:val="0"/>
          <w:numId w:val="0"/>
        </w:numPr>
        <w:ind w:left="-480" w:leftChars="-200"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（6）机动车道照明</w:t>
      </w:r>
    </w:p>
    <w:p w14:paraId="5E536633">
      <w:pPr>
        <w:pStyle w:val="61"/>
        <w:spacing w:beforeLines="0" w:after="0" w:afterAutospacing="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机动车道照明标准值</w:t>
      </w:r>
    </w:p>
    <w:tbl>
      <w:tblPr>
        <w:tblStyle w:val="18"/>
        <w:tblW w:w="9320" w:type="dxa"/>
        <w:jc w:val="center"/>
        <w:tblLayout w:type="fixed"/>
        <w:tblCellMar>
          <w:top w:w="0" w:type="dxa"/>
          <w:left w:w="0" w:type="dxa"/>
          <w:bottom w:w="0" w:type="dxa"/>
          <w:right w:w="0" w:type="dxa"/>
        </w:tblCellMar>
      </w:tblPr>
      <w:tblGrid>
        <w:gridCol w:w="704"/>
        <w:gridCol w:w="1701"/>
        <w:gridCol w:w="996"/>
        <w:gridCol w:w="967"/>
        <w:gridCol w:w="966"/>
        <w:gridCol w:w="1048"/>
        <w:gridCol w:w="972"/>
        <w:gridCol w:w="983"/>
        <w:gridCol w:w="983"/>
      </w:tblGrid>
      <w:tr w14:paraId="6D2CC3C8">
        <w:tblPrEx>
          <w:tblCellMar>
            <w:top w:w="0" w:type="dxa"/>
            <w:left w:w="0" w:type="dxa"/>
            <w:bottom w:w="0" w:type="dxa"/>
            <w:right w:w="0" w:type="dxa"/>
          </w:tblCellMar>
        </w:tblPrEx>
        <w:trPr>
          <w:trHeight w:val="548" w:hRule="atLeast"/>
          <w:jc w:val="center"/>
        </w:trPr>
        <w:tc>
          <w:tcPr>
            <w:tcW w:w="704" w:type="dxa"/>
            <w:vMerge w:val="restart"/>
            <w:tcBorders>
              <w:top w:val="single" w:color="000000" w:sz="4" w:space="0"/>
              <w:left w:val="single" w:color="000000" w:sz="4" w:space="0"/>
              <w:right w:val="single" w:color="000000" w:sz="4" w:space="0"/>
            </w:tcBorders>
            <w:vAlign w:val="center"/>
          </w:tcPr>
          <w:p w14:paraId="7FF14D46">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bookmarkStart w:id="6" w:name="_Hlk56170443"/>
            <w:bookmarkEnd w:id="6"/>
            <w:r>
              <w:rPr>
                <w:rFonts w:hint="eastAsia" w:ascii="宋体" w:hAnsi="宋体" w:eastAsia="宋体" w:cs="宋体"/>
                <w:color w:val="000000" w:themeColor="text1"/>
                <w:sz w:val="24"/>
                <w:szCs w:val="24"/>
                <w14:textFill>
                  <w14:solidFill>
                    <w14:schemeClr w14:val="tx1"/>
                  </w14:solidFill>
                </w14:textFill>
              </w:rPr>
              <w:t>级别</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14:paraId="445A4461">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道路类型</w:t>
            </w:r>
          </w:p>
        </w:tc>
        <w:tc>
          <w:tcPr>
            <w:tcW w:w="2929" w:type="dxa"/>
            <w:gridSpan w:val="3"/>
            <w:tcBorders>
              <w:top w:val="single" w:color="000000" w:sz="4" w:space="0"/>
              <w:left w:val="nil"/>
              <w:bottom w:val="single" w:color="000000" w:sz="4" w:space="0"/>
              <w:right w:val="single" w:color="000000" w:sz="4" w:space="0"/>
            </w:tcBorders>
            <w:vAlign w:val="center"/>
          </w:tcPr>
          <w:p w14:paraId="5A25EEC6">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路面亮度</w:t>
            </w:r>
          </w:p>
        </w:tc>
        <w:tc>
          <w:tcPr>
            <w:tcW w:w="2020" w:type="dxa"/>
            <w:gridSpan w:val="2"/>
            <w:tcBorders>
              <w:top w:val="single" w:color="000000" w:sz="4" w:space="0"/>
              <w:left w:val="nil"/>
              <w:bottom w:val="single" w:color="000000" w:sz="4" w:space="0"/>
              <w:right w:val="single" w:color="000000" w:sz="4" w:space="0"/>
            </w:tcBorders>
            <w:vAlign w:val="center"/>
          </w:tcPr>
          <w:p w14:paraId="0AE5485C">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路面照度</w:t>
            </w:r>
          </w:p>
        </w:tc>
        <w:tc>
          <w:tcPr>
            <w:tcW w:w="983" w:type="dxa"/>
            <w:vMerge w:val="restart"/>
            <w:tcBorders>
              <w:top w:val="single" w:color="000000" w:sz="4" w:space="0"/>
              <w:left w:val="nil"/>
              <w:bottom w:val="single" w:color="000000" w:sz="4" w:space="0"/>
              <w:right w:val="single" w:color="000000" w:sz="4" w:space="0"/>
            </w:tcBorders>
            <w:vAlign w:val="center"/>
          </w:tcPr>
          <w:p w14:paraId="2B42DB70">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p>
          <w:p w14:paraId="2F236380">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p>
          <w:p w14:paraId="144EF3C9">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眩光限制</w:t>
            </w:r>
          </w:p>
          <w:p w14:paraId="6B4C65DC">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TI（%）</w:t>
            </w:r>
          </w:p>
          <w:p w14:paraId="09E435E4">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最大 初始值</w:t>
            </w:r>
          </w:p>
        </w:tc>
        <w:tc>
          <w:tcPr>
            <w:tcW w:w="983" w:type="dxa"/>
            <w:vMerge w:val="restart"/>
            <w:tcBorders>
              <w:top w:val="single" w:color="000000" w:sz="4" w:space="0"/>
              <w:left w:val="nil"/>
              <w:bottom w:val="single" w:color="000000" w:sz="4" w:space="0"/>
              <w:right w:val="single" w:color="000000" w:sz="4" w:space="0"/>
            </w:tcBorders>
            <w:vAlign w:val="center"/>
          </w:tcPr>
          <w:p w14:paraId="1BDCBC1A">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p>
          <w:p w14:paraId="6263B326">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p>
          <w:p w14:paraId="44538935">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环境比</w:t>
            </w:r>
          </w:p>
          <w:p w14:paraId="2FE08C24">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SR</w:t>
            </w:r>
          </w:p>
          <w:p w14:paraId="720B9384">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p>
          <w:p w14:paraId="02471E8F">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最小值</w:t>
            </w:r>
          </w:p>
        </w:tc>
      </w:tr>
      <w:tr w14:paraId="1D92D193">
        <w:tblPrEx>
          <w:tblCellMar>
            <w:top w:w="0" w:type="dxa"/>
            <w:left w:w="0" w:type="dxa"/>
            <w:bottom w:w="0" w:type="dxa"/>
            <w:right w:w="0" w:type="dxa"/>
          </w:tblCellMar>
        </w:tblPrEx>
        <w:trPr>
          <w:trHeight w:val="1506" w:hRule="atLeast"/>
          <w:jc w:val="center"/>
        </w:trPr>
        <w:tc>
          <w:tcPr>
            <w:tcW w:w="704" w:type="dxa"/>
            <w:vMerge w:val="continue"/>
            <w:tcBorders>
              <w:left w:val="single" w:color="000000" w:sz="4" w:space="0"/>
              <w:bottom w:val="single" w:color="000000" w:sz="4" w:space="0"/>
              <w:right w:val="single" w:color="000000" w:sz="4" w:space="0"/>
            </w:tcBorders>
            <w:vAlign w:val="center"/>
          </w:tcPr>
          <w:p w14:paraId="69419F62">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49231AEF">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p>
        </w:tc>
        <w:tc>
          <w:tcPr>
            <w:tcW w:w="996" w:type="dxa"/>
            <w:tcBorders>
              <w:top w:val="single" w:color="000000" w:sz="4" w:space="0"/>
              <w:left w:val="nil"/>
              <w:bottom w:val="single" w:color="000000" w:sz="4" w:space="0"/>
              <w:right w:val="single" w:color="000000" w:sz="4" w:space="0"/>
            </w:tcBorders>
            <w:vAlign w:val="center"/>
          </w:tcPr>
          <w:p w14:paraId="77D7C0C7">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平均亮度 Lav</w:t>
            </w:r>
          </w:p>
          <w:p w14:paraId="651DB7E0">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(cd/㎡)维 持值</w:t>
            </w:r>
          </w:p>
        </w:tc>
        <w:tc>
          <w:tcPr>
            <w:tcW w:w="967" w:type="dxa"/>
            <w:tcBorders>
              <w:top w:val="single" w:color="000000" w:sz="4" w:space="0"/>
              <w:left w:val="nil"/>
              <w:bottom w:val="single" w:color="000000" w:sz="4" w:space="0"/>
              <w:right w:val="single" w:color="000000" w:sz="4" w:space="0"/>
            </w:tcBorders>
            <w:vAlign w:val="center"/>
          </w:tcPr>
          <w:p w14:paraId="0A01297F">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总均匀度 U0 最 小值</w:t>
            </w:r>
          </w:p>
        </w:tc>
        <w:tc>
          <w:tcPr>
            <w:tcW w:w="966" w:type="dxa"/>
            <w:tcBorders>
              <w:top w:val="single" w:color="000000" w:sz="4" w:space="0"/>
              <w:left w:val="nil"/>
              <w:bottom w:val="single" w:color="000000" w:sz="4" w:space="0"/>
              <w:right w:val="single" w:color="000000" w:sz="4" w:space="0"/>
            </w:tcBorders>
            <w:vAlign w:val="center"/>
          </w:tcPr>
          <w:p w14:paraId="74C156F1">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纵向均匀度 UL 最小值</w:t>
            </w:r>
          </w:p>
        </w:tc>
        <w:tc>
          <w:tcPr>
            <w:tcW w:w="1048" w:type="dxa"/>
            <w:tcBorders>
              <w:top w:val="single" w:color="000000" w:sz="4" w:space="0"/>
              <w:left w:val="nil"/>
              <w:bottom w:val="single" w:color="000000" w:sz="4" w:space="0"/>
              <w:right w:val="single" w:color="000000" w:sz="4" w:space="0"/>
            </w:tcBorders>
            <w:vAlign w:val="center"/>
          </w:tcPr>
          <w:p w14:paraId="589966D5">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平均照度 Eav(Lx)</w:t>
            </w:r>
          </w:p>
          <w:p w14:paraId="3C93FD7E">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维持值</w:t>
            </w:r>
          </w:p>
        </w:tc>
        <w:tc>
          <w:tcPr>
            <w:tcW w:w="972" w:type="dxa"/>
            <w:tcBorders>
              <w:top w:val="single" w:color="000000" w:sz="4" w:space="0"/>
              <w:left w:val="nil"/>
              <w:bottom w:val="single" w:color="000000" w:sz="4" w:space="0"/>
              <w:right w:val="single" w:color="000000" w:sz="4" w:space="0"/>
            </w:tcBorders>
            <w:vAlign w:val="center"/>
          </w:tcPr>
          <w:p w14:paraId="2C46D606">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均匀度</w:t>
            </w:r>
          </w:p>
          <w:p w14:paraId="068B6434">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UE</w:t>
            </w:r>
          </w:p>
          <w:p w14:paraId="4EFBF3F5">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最小值</w:t>
            </w:r>
          </w:p>
        </w:tc>
        <w:tc>
          <w:tcPr>
            <w:tcW w:w="983" w:type="dxa"/>
            <w:vMerge w:val="continue"/>
            <w:tcBorders>
              <w:top w:val="single" w:color="000000" w:sz="4" w:space="0"/>
              <w:left w:val="nil"/>
              <w:bottom w:val="single" w:color="000000" w:sz="4" w:space="0"/>
              <w:right w:val="single" w:color="000000" w:sz="4" w:space="0"/>
            </w:tcBorders>
            <w:vAlign w:val="center"/>
          </w:tcPr>
          <w:p w14:paraId="3EB75BD9">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p>
        </w:tc>
        <w:tc>
          <w:tcPr>
            <w:tcW w:w="983" w:type="dxa"/>
            <w:vMerge w:val="continue"/>
            <w:tcBorders>
              <w:top w:val="single" w:color="000000" w:sz="4" w:space="0"/>
              <w:left w:val="nil"/>
              <w:bottom w:val="single" w:color="000000" w:sz="4" w:space="0"/>
              <w:right w:val="single" w:color="000000" w:sz="4" w:space="0"/>
            </w:tcBorders>
            <w:vAlign w:val="center"/>
          </w:tcPr>
          <w:p w14:paraId="141CF017">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p>
        </w:tc>
      </w:tr>
      <w:tr w14:paraId="4E678659">
        <w:tblPrEx>
          <w:tblCellMar>
            <w:top w:w="0" w:type="dxa"/>
            <w:left w:w="0" w:type="dxa"/>
            <w:bottom w:w="0" w:type="dxa"/>
            <w:right w:w="0" w:type="dxa"/>
          </w:tblCellMar>
        </w:tblPrEx>
        <w:trPr>
          <w:trHeight w:val="656"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14:paraId="06523C09">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Ⅰ</w:t>
            </w:r>
          </w:p>
        </w:tc>
        <w:tc>
          <w:tcPr>
            <w:tcW w:w="1701" w:type="dxa"/>
            <w:tcBorders>
              <w:top w:val="single" w:color="000000" w:sz="4" w:space="0"/>
              <w:left w:val="single" w:color="000000" w:sz="4" w:space="0"/>
              <w:bottom w:val="single" w:color="000000" w:sz="4" w:space="0"/>
              <w:right w:val="single" w:color="000000" w:sz="4" w:space="0"/>
            </w:tcBorders>
            <w:vAlign w:val="center"/>
          </w:tcPr>
          <w:p w14:paraId="1D8D85DF">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快速路、主干道</w:t>
            </w:r>
          </w:p>
        </w:tc>
        <w:tc>
          <w:tcPr>
            <w:tcW w:w="996" w:type="dxa"/>
            <w:tcBorders>
              <w:top w:val="single" w:color="000000" w:sz="4" w:space="0"/>
              <w:left w:val="nil"/>
              <w:bottom w:val="single" w:color="000000" w:sz="4" w:space="0"/>
              <w:right w:val="single" w:color="000000" w:sz="4" w:space="0"/>
            </w:tcBorders>
            <w:vAlign w:val="center"/>
          </w:tcPr>
          <w:p w14:paraId="1466BEC7">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1.5/2.0</w:t>
            </w:r>
          </w:p>
        </w:tc>
        <w:tc>
          <w:tcPr>
            <w:tcW w:w="967" w:type="dxa"/>
            <w:tcBorders>
              <w:top w:val="single" w:color="000000" w:sz="4" w:space="0"/>
              <w:left w:val="nil"/>
              <w:bottom w:val="single" w:color="000000" w:sz="4" w:space="0"/>
              <w:right w:val="single" w:color="000000" w:sz="4" w:space="0"/>
            </w:tcBorders>
            <w:vAlign w:val="center"/>
          </w:tcPr>
          <w:p w14:paraId="3CA80E9E">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0.4</w:t>
            </w:r>
          </w:p>
        </w:tc>
        <w:tc>
          <w:tcPr>
            <w:tcW w:w="966" w:type="dxa"/>
            <w:tcBorders>
              <w:top w:val="single" w:color="000000" w:sz="4" w:space="0"/>
              <w:left w:val="nil"/>
              <w:bottom w:val="single" w:color="000000" w:sz="4" w:space="0"/>
              <w:right w:val="single" w:color="000000" w:sz="4" w:space="0"/>
            </w:tcBorders>
            <w:vAlign w:val="center"/>
          </w:tcPr>
          <w:p w14:paraId="6389449E">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0.7</w:t>
            </w:r>
          </w:p>
        </w:tc>
        <w:tc>
          <w:tcPr>
            <w:tcW w:w="1048" w:type="dxa"/>
            <w:tcBorders>
              <w:top w:val="single" w:color="000000" w:sz="4" w:space="0"/>
              <w:left w:val="nil"/>
              <w:bottom w:val="single" w:color="000000" w:sz="4" w:space="0"/>
              <w:right w:val="single" w:color="000000" w:sz="4" w:space="0"/>
            </w:tcBorders>
            <w:vAlign w:val="center"/>
          </w:tcPr>
          <w:p w14:paraId="4DEFC4E9">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20/30</w:t>
            </w:r>
          </w:p>
        </w:tc>
        <w:tc>
          <w:tcPr>
            <w:tcW w:w="972" w:type="dxa"/>
            <w:tcBorders>
              <w:top w:val="single" w:color="000000" w:sz="4" w:space="0"/>
              <w:left w:val="nil"/>
              <w:bottom w:val="single" w:color="000000" w:sz="4" w:space="0"/>
              <w:right w:val="single" w:color="000000" w:sz="4" w:space="0"/>
            </w:tcBorders>
            <w:vAlign w:val="center"/>
          </w:tcPr>
          <w:p w14:paraId="0A6488A2">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0.4</w:t>
            </w:r>
          </w:p>
        </w:tc>
        <w:tc>
          <w:tcPr>
            <w:tcW w:w="983" w:type="dxa"/>
            <w:tcBorders>
              <w:top w:val="single" w:color="000000" w:sz="4" w:space="0"/>
              <w:left w:val="nil"/>
              <w:bottom w:val="single" w:color="000000" w:sz="4" w:space="0"/>
              <w:right w:val="single" w:color="000000" w:sz="4" w:space="0"/>
            </w:tcBorders>
            <w:vAlign w:val="center"/>
          </w:tcPr>
          <w:p w14:paraId="65B04A7E">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10</w:t>
            </w:r>
          </w:p>
        </w:tc>
        <w:tc>
          <w:tcPr>
            <w:tcW w:w="983" w:type="dxa"/>
            <w:tcBorders>
              <w:top w:val="single" w:color="000000" w:sz="4" w:space="0"/>
              <w:left w:val="nil"/>
              <w:bottom w:val="single" w:color="000000" w:sz="4" w:space="0"/>
              <w:right w:val="single" w:color="000000" w:sz="4" w:space="0"/>
            </w:tcBorders>
            <w:vAlign w:val="center"/>
          </w:tcPr>
          <w:p w14:paraId="14514EE6">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0.5</w:t>
            </w:r>
          </w:p>
        </w:tc>
      </w:tr>
      <w:tr w14:paraId="4900D33F">
        <w:tblPrEx>
          <w:tblCellMar>
            <w:top w:w="0" w:type="dxa"/>
            <w:left w:w="0" w:type="dxa"/>
            <w:bottom w:w="0" w:type="dxa"/>
            <w:right w:w="0" w:type="dxa"/>
          </w:tblCellMar>
        </w:tblPrEx>
        <w:trPr>
          <w:trHeight w:val="547"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14:paraId="2CC5B94E">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Ⅱ</w:t>
            </w:r>
          </w:p>
        </w:tc>
        <w:tc>
          <w:tcPr>
            <w:tcW w:w="1701" w:type="dxa"/>
            <w:tcBorders>
              <w:top w:val="single" w:color="000000" w:sz="4" w:space="0"/>
              <w:left w:val="single" w:color="000000" w:sz="4" w:space="0"/>
              <w:bottom w:val="single" w:color="000000" w:sz="4" w:space="0"/>
              <w:right w:val="single" w:color="000000" w:sz="4" w:space="0"/>
            </w:tcBorders>
            <w:vAlign w:val="center"/>
          </w:tcPr>
          <w:p w14:paraId="598CD06B">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次干道</w:t>
            </w:r>
          </w:p>
        </w:tc>
        <w:tc>
          <w:tcPr>
            <w:tcW w:w="996" w:type="dxa"/>
            <w:tcBorders>
              <w:top w:val="single" w:color="000000" w:sz="4" w:space="0"/>
              <w:left w:val="nil"/>
              <w:bottom w:val="single" w:color="000000" w:sz="4" w:space="0"/>
              <w:right w:val="single" w:color="000000" w:sz="4" w:space="0"/>
            </w:tcBorders>
            <w:vAlign w:val="center"/>
          </w:tcPr>
          <w:p w14:paraId="1C3E6B3A">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1.0/1.5</w:t>
            </w:r>
          </w:p>
        </w:tc>
        <w:tc>
          <w:tcPr>
            <w:tcW w:w="967" w:type="dxa"/>
            <w:tcBorders>
              <w:top w:val="single" w:color="000000" w:sz="4" w:space="0"/>
              <w:left w:val="nil"/>
              <w:bottom w:val="single" w:color="000000" w:sz="4" w:space="0"/>
              <w:right w:val="single" w:color="000000" w:sz="4" w:space="0"/>
            </w:tcBorders>
            <w:vAlign w:val="center"/>
          </w:tcPr>
          <w:p w14:paraId="05892B24">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0.4</w:t>
            </w:r>
          </w:p>
        </w:tc>
        <w:tc>
          <w:tcPr>
            <w:tcW w:w="966" w:type="dxa"/>
            <w:tcBorders>
              <w:top w:val="single" w:color="000000" w:sz="4" w:space="0"/>
              <w:left w:val="nil"/>
              <w:bottom w:val="single" w:color="000000" w:sz="4" w:space="0"/>
              <w:right w:val="single" w:color="000000" w:sz="4" w:space="0"/>
            </w:tcBorders>
            <w:vAlign w:val="center"/>
          </w:tcPr>
          <w:p w14:paraId="43BA28BE">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0.5</w:t>
            </w:r>
          </w:p>
        </w:tc>
        <w:tc>
          <w:tcPr>
            <w:tcW w:w="1048" w:type="dxa"/>
            <w:tcBorders>
              <w:top w:val="single" w:color="000000" w:sz="4" w:space="0"/>
              <w:left w:val="nil"/>
              <w:bottom w:val="single" w:color="000000" w:sz="4" w:space="0"/>
              <w:right w:val="single" w:color="000000" w:sz="4" w:space="0"/>
            </w:tcBorders>
            <w:vAlign w:val="center"/>
          </w:tcPr>
          <w:p w14:paraId="08D1406F">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15/20</w:t>
            </w:r>
          </w:p>
        </w:tc>
        <w:tc>
          <w:tcPr>
            <w:tcW w:w="972" w:type="dxa"/>
            <w:tcBorders>
              <w:top w:val="single" w:color="000000" w:sz="4" w:space="0"/>
              <w:left w:val="nil"/>
              <w:bottom w:val="single" w:color="000000" w:sz="4" w:space="0"/>
              <w:right w:val="single" w:color="000000" w:sz="4" w:space="0"/>
            </w:tcBorders>
            <w:vAlign w:val="center"/>
          </w:tcPr>
          <w:p w14:paraId="552BDB06">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0.4</w:t>
            </w:r>
          </w:p>
        </w:tc>
        <w:tc>
          <w:tcPr>
            <w:tcW w:w="983" w:type="dxa"/>
            <w:tcBorders>
              <w:top w:val="single" w:color="000000" w:sz="4" w:space="0"/>
              <w:left w:val="nil"/>
              <w:bottom w:val="single" w:color="000000" w:sz="4" w:space="0"/>
              <w:right w:val="single" w:color="000000" w:sz="4" w:space="0"/>
            </w:tcBorders>
            <w:vAlign w:val="center"/>
          </w:tcPr>
          <w:p w14:paraId="2F84CE05">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10</w:t>
            </w:r>
          </w:p>
        </w:tc>
        <w:tc>
          <w:tcPr>
            <w:tcW w:w="983" w:type="dxa"/>
            <w:tcBorders>
              <w:top w:val="single" w:color="000000" w:sz="4" w:space="0"/>
              <w:left w:val="nil"/>
              <w:bottom w:val="single" w:color="000000" w:sz="4" w:space="0"/>
              <w:right w:val="single" w:color="000000" w:sz="4" w:space="0"/>
            </w:tcBorders>
            <w:vAlign w:val="center"/>
          </w:tcPr>
          <w:p w14:paraId="74BF6627">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0.5</w:t>
            </w:r>
          </w:p>
        </w:tc>
      </w:tr>
      <w:tr w14:paraId="47727265">
        <w:tblPrEx>
          <w:tblCellMar>
            <w:top w:w="0" w:type="dxa"/>
            <w:left w:w="0" w:type="dxa"/>
            <w:bottom w:w="0" w:type="dxa"/>
            <w:right w:w="0" w:type="dxa"/>
          </w:tblCellMar>
        </w:tblPrEx>
        <w:trPr>
          <w:trHeight w:val="547"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14:paraId="0F97E558">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Ⅲ</w:t>
            </w:r>
          </w:p>
        </w:tc>
        <w:tc>
          <w:tcPr>
            <w:tcW w:w="1701" w:type="dxa"/>
            <w:tcBorders>
              <w:top w:val="single" w:color="000000" w:sz="4" w:space="0"/>
              <w:left w:val="single" w:color="000000" w:sz="4" w:space="0"/>
              <w:bottom w:val="single" w:color="000000" w:sz="4" w:space="0"/>
              <w:right w:val="single" w:color="000000" w:sz="4" w:space="0"/>
            </w:tcBorders>
            <w:vAlign w:val="center"/>
          </w:tcPr>
          <w:p w14:paraId="178A0826">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支路</w:t>
            </w:r>
          </w:p>
        </w:tc>
        <w:tc>
          <w:tcPr>
            <w:tcW w:w="996" w:type="dxa"/>
            <w:tcBorders>
              <w:top w:val="single" w:color="000000" w:sz="4" w:space="0"/>
              <w:left w:val="nil"/>
              <w:bottom w:val="single" w:color="000000" w:sz="4" w:space="0"/>
              <w:right w:val="single" w:color="000000" w:sz="4" w:space="0"/>
            </w:tcBorders>
            <w:vAlign w:val="center"/>
          </w:tcPr>
          <w:p w14:paraId="1F04D6CE">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0.5/0.75</w:t>
            </w:r>
          </w:p>
        </w:tc>
        <w:tc>
          <w:tcPr>
            <w:tcW w:w="967" w:type="dxa"/>
            <w:tcBorders>
              <w:top w:val="single" w:color="000000" w:sz="4" w:space="0"/>
              <w:left w:val="nil"/>
              <w:bottom w:val="single" w:color="000000" w:sz="4" w:space="0"/>
              <w:right w:val="single" w:color="000000" w:sz="4" w:space="0"/>
            </w:tcBorders>
            <w:vAlign w:val="center"/>
          </w:tcPr>
          <w:p w14:paraId="4ADEFA43">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0.4</w:t>
            </w:r>
          </w:p>
        </w:tc>
        <w:tc>
          <w:tcPr>
            <w:tcW w:w="966" w:type="dxa"/>
            <w:tcBorders>
              <w:top w:val="single" w:color="000000" w:sz="4" w:space="0"/>
              <w:left w:val="nil"/>
              <w:bottom w:val="single" w:color="000000" w:sz="4" w:space="0"/>
              <w:right w:val="single" w:color="000000" w:sz="4" w:space="0"/>
            </w:tcBorders>
            <w:vAlign w:val="center"/>
          </w:tcPr>
          <w:p w14:paraId="664C19BD">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tc>
        <w:tc>
          <w:tcPr>
            <w:tcW w:w="1048" w:type="dxa"/>
            <w:tcBorders>
              <w:top w:val="single" w:color="000000" w:sz="4" w:space="0"/>
              <w:left w:val="nil"/>
              <w:bottom w:val="single" w:color="000000" w:sz="4" w:space="0"/>
              <w:right w:val="single" w:color="000000" w:sz="4" w:space="0"/>
            </w:tcBorders>
            <w:vAlign w:val="center"/>
          </w:tcPr>
          <w:p w14:paraId="29CF4F9C">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8/10</w:t>
            </w:r>
          </w:p>
        </w:tc>
        <w:tc>
          <w:tcPr>
            <w:tcW w:w="972" w:type="dxa"/>
            <w:tcBorders>
              <w:top w:val="single" w:color="000000" w:sz="4" w:space="0"/>
              <w:left w:val="nil"/>
              <w:bottom w:val="single" w:color="000000" w:sz="4" w:space="0"/>
              <w:right w:val="single" w:color="000000" w:sz="4" w:space="0"/>
            </w:tcBorders>
            <w:vAlign w:val="center"/>
          </w:tcPr>
          <w:p w14:paraId="61111B07">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0.3</w:t>
            </w:r>
          </w:p>
        </w:tc>
        <w:tc>
          <w:tcPr>
            <w:tcW w:w="983" w:type="dxa"/>
            <w:tcBorders>
              <w:top w:val="single" w:color="000000" w:sz="4" w:space="0"/>
              <w:left w:val="nil"/>
              <w:bottom w:val="single" w:color="000000" w:sz="4" w:space="0"/>
              <w:right w:val="single" w:color="000000" w:sz="4" w:space="0"/>
            </w:tcBorders>
            <w:vAlign w:val="center"/>
          </w:tcPr>
          <w:p w14:paraId="2B42FED1">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w:t>
            </w:r>
          </w:p>
        </w:tc>
        <w:tc>
          <w:tcPr>
            <w:tcW w:w="983" w:type="dxa"/>
            <w:tcBorders>
              <w:top w:val="single" w:color="000000" w:sz="4" w:space="0"/>
              <w:left w:val="nil"/>
              <w:bottom w:val="single" w:color="000000" w:sz="4" w:space="0"/>
              <w:right w:val="single" w:color="000000" w:sz="4" w:space="0"/>
            </w:tcBorders>
            <w:vAlign w:val="center"/>
          </w:tcPr>
          <w:p w14:paraId="5F277792">
            <w:pPr>
              <w:pStyle w:val="60"/>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tc>
      </w:tr>
    </w:tbl>
    <w:p w14:paraId="00506AFA">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（7）人行及非机动车道照明</w:t>
      </w:r>
    </w:p>
    <w:p w14:paraId="49B992B4">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城市道路设置有稳定的道路照明设施时，人行及非机动车道所需照明规定如下：</w:t>
      </w:r>
    </w:p>
    <w:p w14:paraId="39D844DC">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一般步行区域有一般的夜间步行活动、典型的区域例如图书馆和休闲中心等，在该区域行人的安全和提供步行的引导是这些区域照明系统设计的关键，通常按照下表推荐值设置照明：</w:t>
      </w:r>
    </w:p>
    <w:p w14:paraId="0031B9C2">
      <w:pPr>
        <w:pStyle w:val="61"/>
        <w:spacing w:beforeLines="0" w:after="0" w:afterAutospacing="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人行及非机动车道照明标准值</w:t>
      </w:r>
    </w:p>
    <w:tbl>
      <w:tblPr>
        <w:tblStyle w:val="18"/>
        <w:tblW w:w="5000" w:type="pct"/>
        <w:jc w:val="center"/>
        <w:tblLayout w:type="autofit"/>
        <w:tblCellMar>
          <w:top w:w="0" w:type="dxa"/>
          <w:left w:w="108" w:type="dxa"/>
          <w:bottom w:w="0" w:type="dxa"/>
          <w:right w:w="108" w:type="dxa"/>
        </w:tblCellMar>
      </w:tblPr>
      <w:tblGrid>
        <w:gridCol w:w="712"/>
        <w:gridCol w:w="2855"/>
        <w:gridCol w:w="1650"/>
        <w:gridCol w:w="1693"/>
        <w:gridCol w:w="1787"/>
        <w:gridCol w:w="1384"/>
      </w:tblGrid>
      <w:tr w14:paraId="2E35FC8F">
        <w:tblPrEx>
          <w:tblCellMar>
            <w:top w:w="0" w:type="dxa"/>
            <w:left w:w="108" w:type="dxa"/>
            <w:bottom w:w="0" w:type="dxa"/>
            <w:right w:w="108" w:type="dxa"/>
          </w:tblCellMar>
        </w:tblPrEx>
        <w:trPr>
          <w:trHeight w:val="1002" w:hRule="atLeast"/>
          <w:jc w:val="center"/>
        </w:trPr>
        <w:tc>
          <w:tcPr>
            <w:tcW w:w="353" w:type="pct"/>
            <w:tcBorders>
              <w:top w:val="single" w:color="auto" w:sz="4" w:space="0"/>
              <w:left w:val="single" w:color="auto" w:sz="4" w:space="0"/>
              <w:bottom w:val="single" w:color="auto" w:sz="4" w:space="0"/>
              <w:right w:val="single" w:color="auto" w:sz="4" w:space="0"/>
            </w:tcBorders>
            <w:noWrap/>
            <w:vAlign w:val="center"/>
          </w:tcPr>
          <w:p w14:paraId="7F97F888">
            <w:pPr>
              <w:pStyle w:val="60"/>
              <w:rPr>
                <w:rFonts w:hint="eastAsia" w:ascii="宋体" w:hAnsi="宋体" w:eastAsia="宋体" w:cs="宋体"/>
                <w:color w:val="000000" w:themeColor="text1"/>
                <w:sz w:val="24"/>
                <w:szCs w:val="24"/>
                <w14:textFill>
                  <w14:solidFill>
                    <w14:schemeClr w14:val="tx1"/>
                  </w14:solidFill>
                </w14:textFill>
              </w:rPr>
            </w:pPr>
            <w:bookmarkStart w:id="7" w:name="_Hlk56170499"/>
            <w:bookmarkEnd w:id="7"/>
            <w:r>
              <w:rPr>
                <w:rFonts w:hint="eastAsia" w:ascii="宋体" w:hAnsi="宋体" w:eastAsia="宋体" w:cs="宋体"/>
                <w:color w:val="000000" w:themeColor="text1"/>
                <w:sz w:val="24"/>
                <w:szCs w:val="24"/>
                <w14:textFill>
                  <w14:solidFill>
                    <w14:schemeClr w14:val="tx1"/>
                  </w14:solidFill>
                </w14:textFill>
              </w:rPr>
              <w:t>级别</w:t>
            </w:r>
          </w:p>
        </w:tc>
        <w:tc>
          <w:tcPr>
            <w:tcW w:w="1415" w:type="pct"/>
            <w:tcBorders>
              <w:top w:val="single" w:color="auto" w:sz="4" w:space="0"/>
              <w:left w:val="nil"/>
              <w:bottom w:val="single" w:color="auto" w:sz="4" w:space="0"/>
              <w:right w:val="single" w:color="auto" w:sz="4" w:space="0"/>
            </w:tcBorders>
            <w:vAlign w:val="center"/>
          </w:tcPr>
          <w:p w14:paraId="5CCD834F">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道路类型</w:t>
            </w:r>
          </w:p>
        </w:tc>
        <w:tc>
          <w:tcPr>
            <w:tcW w:w="818" w:type="pct"/>
            <w:tcBorders>
              <w:top w:val="single" w:color="auto" w:sz="4" w:space="0"/>
              <w:left w:val="nil"/>
              <w:bottom w:val="single" w:color="auto" w:sz="4" w:space="0"/>
              <w:right w:val="single" w:color="auto" w:sz="4" w:space="0"/>
            </w:tcBorders>
            <w:vAlign w:val="center"/>
          </w:tcPr>
          <w:p w14:paraId="787730E0">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路面平均</w:t>
            </w:r>
          </w:p>
          <w:p w14:paraId="6CFA8F1A">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照度Eh,av (lx)</w:t>
            </w:r>
          </w:p>
          <w:p w14:paraId="3E4D7CBC">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维持值</w:t>
            </w:r>
          </w:p>
        </w:tc>
        <w:tc>
          <w:tcPr>
            <w:tcW w:w="839" w:type="pct"/>
            <w:tcBorders>
              <w:top w:val="single" w:color="auto" w:sz="4" w:space="0"/>
              <w:left w:val="nil"/>
              <w:bottom w:val="single" w:color="auto" w:sz="4" w:space="0"/>
              <w:right w:val="single" w:color="auto" w:sz="4" w:space="0"/>
            </w:tcBorders>
            <w:vAlign w:val="center"/>
          </w:tcPr>
          <w:p w14:paraId="2127EEDA">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路面最小</w:t>
            </w:r>
          </w:p>
          <w:p w14:paraId="58FAA46D">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照度Eh.min(lx)</w:t>
            </w:r>
          </w:p>
          <w:p w14:paraId="7C2DFDBC">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维持值</w:t>
            </w:r>
          </w:p>
        </w:tc>
        <w:tc>
          <w:tcPr>
            <w:tcW w:w="886" w:type="pct"/>
            <w:tcBorders>
              <w:top w:val="single" w:color="auto" w:sz="4" w:space="0"/>
              <w:left w:val="nil"/>
              <w:bottom w:val="single" w:color="auto" w:sz="4" w:space="0"/>
              <w:right w:val="single" w:color="auto" w:sz="4" w:space="0"/>
            </w:tcBorders>
            <w:vAlign w:val="center"/>
          </w:tcPr>
          <w:p w14:paraId="3DBD9702">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最小垂直</w:t>
            </w:r>
          </w:p>
          <w:p w14:paraId="55CB399A">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照度Ev,min (lx)</w:t>
            </w:r>
          </w:p>
          <w:p w14:paraId="6E5EE569">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维持值</w:t>
            </w:r>
          </w:p>
        </w:tc>
        <w:tc>
          <w:tcPr>
            <w:tcW w:w="686" w:type="pct"/>
            <w:tcBorders>
              <w:top w:val="single" w:color="auto" w:sz="4" w:space="0"/>
              <w:left w:val="nil"/>
              <w:bottom w:val="single" w:color="auto" w:sz="4" w:space="0"/>
              <w:right w:val="single" w:color="auto" w:sz="4" w:space="0"/>
            </w:tcBorders>
            <w:vAlign w:val="center"/>
          </w:tcPr>
          <w:p w14:paraId="1C10A85C">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最小半柱面照度</w:t>
            </w:r>
          </w:p>
          <w:p w14:paraId="084C8220">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Esc. min(lx)维持值</w:t>
            </w:r>
          </w:p>
        </w:tc>
      </w:tr>
      <w:tr w14:paraId="2BD31275">
        <w:tblPrEx>
          <w:tblCellMar>
            <w:top w:w="0" w:type="dxa"/>
            <w:left w:w="108" w:type="dxa"/>
            <w:bottom w:w="0" w:type="dxa"/>
            <w:right w:w="108" w:type="dxa"/>
          </w:tblCellMar>
        </w:tblPrEx>
        <w:trPr>
          <w:trHeight w:val="1440" w:hRule="atLeast"/>
          <w:jc w:val="center"/>
        </w:trPr>
        <w:tc>
          <w:tcPr>
            <w:tcW w:w="353" w:type="pct"/>
            <w:tcBorders>
              <w:top w:val="nil"/>
              <w:left w:val="single" w:color="auto" w:sz="4" w:space="0"/>
              <w:bottom w:val="single" w:color="auto" w:sz="4" w:space="0"/>
              <w:right w:val="single" w:color="auto" w:sz="4" w:space="0"/>
            </w:tcBorders>
            <w:noWrap/>
            <w:vAlign w:val="center"/>
          </w:tcPr>
          <w:p w14:paraId="41365D94">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1415" w:type="pct"/>
            <w:tcBorders>
              <w:top w:val="nil"/>
              <w:left w:val="nil"/>
              <w:bottom w:val="single" w:color="auto" w:sz="4" w:space="0"/>
              <w:right w:val="single" w:color="auto" w:sz="4" w:space="0"/>
            </w:tcBorders>
            <w:vAlign w:val="center"/>
          </w:tcPr>
          <w:p w14:paraId="42E81A21">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商业步行街;市中心或商业区行人流量高的道路;机动车与行人混合使用、与城市机动车道路连接的居住区出人道路</w:t>
            </w:r>
          </w:p>
        </w:tc>
        <w:tc>
          <w:tcPr>
            <w:tcW w:w="818" w:type="pct"/>
            <w:tcBorders>
              <w:top w:val="nil"/>
              <w:left w:val="nil"/>
              <w:bottom w:val="single" w:color="auto" w:sz="4" w:space="0"/>
              <w:right w:val="single" w:color="auto" w:sz="4" w:space="0"/>
            </w:tcBorders>
            <w:noWrap/>
            <w:vAlign w:val="center"/>
          </w:tcPr>
          <w:p w14:paraId="1FFC8768">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w:t>
            </w:r>
          </w:p>
        </w:tc>
        <w:tc>
          <w:tcPr>
            <w:tcW w:w="839" w:type="pct"/>
            <w:tcBorders>
              <w:top w:val="nil"/>
              <w:left w:val="nil"/>
              <w:bottom w:val="single" w:color="auto" w:sz="4" w:space="0"/>
              <w:right w:val="single" w:color="auto" w:sz="4" w:space="0"/>
            </w:tcBorders>
            <w:noWrap/>
            <w:vAlign w:val="center"/>
          </w:tcPr>
          <w:p w14:paraId="406DBD3B">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c>
          <w:tcPr>
            <w:tcW w:w="886" w:type="pct"/>
            <w:tcBorders>
              <w:top w:val="nil"/>
              <w:left w:val="nil"/>
              <w:bottom w:val="single" w:color="auto" w:sz="4" w:space="0"/>
              <w:right w:val="single" w:color="auto" w:sz="4" w:space="0"/>
            </w:tcBorders>
            <w:noWrap/>
            <w:vAlign w:val="center"/>
          </w:tcPr>
          <w:p w14:paraId="22D72950">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686" w:type="pct"/>
            <w:tcBorders>
              <w:top w:val="nil"/>
              <w:left w:val="nil"/>
              <w:bottom w:val="single" w:color="auto" w:sz="4" w:space="0"/>
              <w:right w:val="single" w:color="auto" w:sz="4" w:space="0"/>
            </w:tcBorders>
            <w:noWrap/>
            <w:vAlign w:val="center"/>
          </w:tcPr>
          <w:p w14:paraId="08B6F638">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r>
      <w:tr w14:paraId="2F344483">
        <w:tblPrEx>
          <w:tblCellMar>
            <w:top w:w="0" w:type="dxa"/>
            <w:left w:w="108" w:type="dxa"/>
            <w:bottom w:w="0" w:type="dxa"/>
            <w:right w:w="108" w:type="dxa"/>
          </w:tblCellMar>
        </w:tblPrEx>
        <w:trPr>
          <w:trHeight w:val="270" w:hRule="atLeast"/>
          <w:jc w:val="center"/>
        </w:trPr>
        <w:tc>
          <w:tcPr>
            <w:tcW w:w="353" w:type="pct"/>
            <w:tcBorders>
              <w:top w:val="nil"/>
              <w:left w:val="single" w:color="auto" w:sz="4" w:space="0"/>
              <w:bottom w:val="single" w:color="auto" w:sz="4" w:space="0"/>
              <w:right w:val="single" w:color="auto" w:sz="4" w:space="0"/>
            </w:tcBorders>
            <w:noWrap/>
            <w:vAlign w:val="center"/>
          </w:tcPr>
          <w:p w14:paraId="07435B93">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p>
        </w:tc>
        <w:tc>
          <w:tcPr>
            <w:tcW w:w="1415" w:type="pct"/>
            <w:tcBorders>
              <w:top w:val="nil"/>
              <w:left w:val="nil"/>
              <w:bottom w:val="single" w:color="auto" w:sz="4" w:space="0"/>
              <w:right w:val="single" w:color="auto" w:sz="4" w:space="0"/>
            </w:tcBorders>
            <w:noWrap/>
            <w:vAlign w:val="center"/>
          </w:tcPr>
          <w:p w14:paraId="576B6CDD">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流量较高的道路</w:t>
            </w:r>
          </w:p>
        </w:tc>
        <w:tc>
          <w:tcPr>
            <w:tcW w:w="818" w:type="pct"/>
            <w:tcBorders>
              <w:top w:val="nil"/>
              <w:left w:val="nil"/>
              <w:bottom w:val="single" w:color="auto" w:sz="4" w:space="0"/>
              <w:right w:val="single" w:color="auto" w:sz="4" w:space="0"/>
            </w:tcBorders>
            <w:noWrap/>
            <w:vAlign w:val="center"/>
          </w:tcPr>
          <w:p w14:paraId="09C74399">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10</w:t>
            </w:r>
          </w:p>
        </w:tc>
        <w:tc>
          <w:tcPr>
            <w:tcW w:w="839" w:type="pct"/>
            <w:tcBorders>
              <w:top w:val="nil"/>
              <w:left w:val="nil"/>
              <w:bottom w:val="single" w:color="auto" w:sz="4" w:space="0"/>
              <w:right w:val="single" w:color="auto" w:sz="4" w:space="0"/>
            </w:tcBorders>
            <w:noWrap/>
            <w:vAlign w:val="center"/>
          </w:tcPr>
          <w:p w14:paraId="25A4ADA6">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p>
        </w:tc>
        <w:tc>
          <w:tcPr>
            <w:tcW w:w="886" w:type="pct"/>
            <w:tcBorders>
              <w:top w:val="nil"/>
              <w:left w:val="nil"/>
              <w:bottom w:val="single" w:color="auto" w:sz="4" w:space="0"/>
              <w:right w:val="single" w:color="auto" w:sz="4" w:space="0"/>
            </w:tcBorders>
            <w:noWrap/>
            <w:vAlign w:val="center"/>
          </w:tcPr>
          <w:p w14:paraId="4C9BDE67">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c>
          <w:tcPr>
            <w:tcW w:w="686" w:type="pct"/>
            <w:tcBorders>
              <w:top w:val="nil"/>
              <w:left w:val="nil"/>
              <w:bottom w:val="single" w:color="auto" w:sz="4" w:space="0"/>
              <w:right w:val="single" w:color="auto" w:sz="4" w:space="0"/>
            </w:tcBorders>
            <w:noWrap/>
            <w:vAlign w:val="center"/>
          </w:tcPr>
          <w:p w14:paraId="49EB8684">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p>
        </w:tc>
      </w:tr>
      <w:tr w14:paraId="55131DD1">
        <w:tblPrEx>
          <w:tblCellMar>
            <w:top w:w="0" w:type="dxa"/>
            <w:left w:w="108" w:type="dxa"/>
            <w:bottom w:w="0" w:type="dxa"/>
            <w:right w:w="108" w:type="dxa"/>
          </w:tblCellMar>
        </w:tblPrEx>
        <w:trPr>
          <w:trHeight w:val="270" w:hRule="atLeast"/>
          <w:jc w:val="center"/>
        </w:trPr>
        <w:tc>
          <w:tcPr>
            <w:tcW w:w="353" w:type="pct"/>
            <w:tcBorders>
              <w:top w:val="nil"/>
              <w:left w:val="single" w:color="auto" w:sz="4" w:space="0"/>
              <w:bottom w:val="single" w:color="auto" w:sz="4" w:space="0"/>
              <w:right w:val="single" w:color="auto" w:sz="4" w:space="0"/>
            </w:tcBorders>
            <w:noWrap/>
            <w:vAlign w:val="center"/>
          </w:tcPr>
          <w:p w14:paraId="1183455A">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c>
          <w:tcPr>
            <w:tcW w:w="1415" w:type="pct"/>
            <w:tcBorders>
              <w:top w:val="nil"/>
              <w:left w:val="nil"/>
              <w:bottom w:val="single" w:color="auto" w:sz="4" w:space="0"/>
              <w:right w:val="single" w:color="auto" w:sz="4" w:space="0"/>
            </w:tcBorders>
            <w:noWrap/>
            <w:vAlign w:val="center"/>
          </w:tcPr>
          <w:p w14:paraId="72351C2B">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流量中等的道路</w:t>
            </w:r>
          </w:p>
        </w:tc>
        <w:tc>
          <w:tcPr>
            <w:tcW w:w="818" w:type="pct"/>
            <w:tcBorders>
              <w:top w:val="nil"/>
              <w:left w:val="nil"/>
              <w:bottom w:val="single" w:color="auto" w:sz="4" w:space="0"/>
              <w:right w:val="single" w:color="auto" w:sz="4" w:space="0"/>
            </w:tcBorders>
            <w:noWrap/>
            <w:vAlign w:val="center"/>
          </w:tcPr>
          <w:p w14:paraId="30AA9E3D">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7.5</w:t>
            </w:r>
          </w:p>
        </w:tc>
        <w:tc>
          <w:tcPr>
            <w:tcW w:w="839" w:type="pct"/>
            <w:tcBorders>
              <w:top w:val="nil"/>
              <w:left w:val="nil"/>
              <w:bottom w:val="single" w:color="auto" w:sz="4" w:space="0"/>
              <w:right w:val="single" w:color="auto" w:sz="4" w:space="0"/>
            </w:tcBorders>
            <w:noWrap/>
            <w:vAlign w:val="center"/>
          </w:tcPr>
          <w:p w14:paraId="16C64668">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w:t>
            </w:r>
          </w:p>
        </w:tc>
        <w:tc>
          <w:tcPr>
            <w:tcW w:w="886" w:type="pct"/>
            <w:tcBorders>
              <w:top w:val="nil"/>
              <w:left w:val="nil"/>
              <w:bottom w:val="single" w:color="auto" w:sz="4" w:space="0"/>
              <w:right w:val="single" w:color="auto" w:sz="4" w:space="0"/>
            </w:tcBorders>
            <w:noWrap/>
            <w:vAlign w:val="center"/>
          </w:tcPr>
          <w:p w14:paraId="4DF07A95">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2.5</w:t>
            </w:r>
          </w:p>
        </w:tc>
        <w:tc>
          <w:tcPr>
            <w:tcW w:w="686" w:type="pct"/>
            <w:tcBorders>
              <w:top w:val="nil"/>
              <w:left w:val="nil"/>
              <w:bottom w:val="single" w:color="auto" w:sz="4" w:space="0"/>
              <w:right w:val="single" w:color="auto" w:sz="4" w:space="0"/>
            </w:tcBorders>
            <w:noWrap/>
            <w:vAlign w:val="center"/>
          </w:tcPr>
          <w:p w14:paraId="0A86B950">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w:t>
            </w:r>
          </w:p>
        </w:tc>
      </w:tr>
      <w:tr w14:paraId="39A1739F">
        <w:tblPrEx>
          <w:tblCellMar>
            <w:top w:w="0" w:type="dxa"/>
            <w:left w:w="108" w:type="dxa"/>
            <w:bottom w:w="0" w:type="dxa"/>
            <w:right w:w="108" w:type="dxa"/>
          </w:tblCellMar>
        </w:tblPrEx>
        <w:trPr>
          <w:trHeight w:val="270" w:hRule="atLeast"/>
          <w:jc w:val="center"/>
        </w:trPr>
        <w:tc>
          <w:tcPr>
            <w:tcW w:w="353" w:type="pct"/>
            <w:tcBorders>
              <w:top w:val="nil"/>
              <w:left w:val="single" w:color="auto" w:sz="4" w:space="0"/>
              <w:bottom w:val="single" w:color="auto" w:sz="4" w:space="0"/>
              <w:right w:val="single" w:color="auto" w:sz="4" w:space="0"/>
            </w:tcBorders>
            <w:noWrap/>
            <w:vAlign w:val="center"/>
          </w:tcPr>
          <w:p w14:paraId="073CC598">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p>
        </w:tc>
        <w:tc>
          <w:tcPr>
            <w:tcW w:w="1415" w:type="pct"/>
            <w:tcBorders>
              <w:top w:val="nil"/>
              <w:left w:val="nil"/>
              <w:bottom w:val="single" w:color="auto" w:sz="4" w:space="0"/>
              <w:right w:val="single" w:color="auto" w:sz="4" w:space="0"/>
            </w:tcBorders>
            <w:noWrap/>
            <w:vAlign w:val="center"/>
          </w:tcPr>
          <w:p w14:paraId="6A751712">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流量较低的道路</w:t>
            </w:r>
          </w:p>
        </w:tc>
        <w:tc>
          <w:tcPr>
            <w:tcW w:w="818" w:type="pct"/>
            <w:tcBorders>
              <w:top w:val="nil"/>
              <w:left w:val="nil"/>
              <w:bottom w:val="single" w:color="auto" w:sz="4" w:space="0"/>
              <w:right w:val="single" w:color="auto" w:sz="4" w:space="0"/>
            </w:tcBorders>
            <w:noWrap/>
            <w:vAlign w:val="center"/>
          </w:tcPr>
          <w:p w14:paraId="654786F4">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839" w:type="pct"/>
            <w:tcBorders>
              <w:top w:val="nil"/>
              <w:left w:val="nil"/>
              <w:bottom w:val="single" w:color="auto" w:sz="4" w:space="0"/>
              <w:right w:val="single" w:color="auto" w:sz="4" w:space="0"/>
            </w:tcBorders>
            <w:noWrap/>
            <w:vAlign w:val="center"/>
          </w:tcPr>
          <w:p w14:paraId="68A25881">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886" w:type="pct"/>
            <w:tcBorders>
              <w:top w:val="nil"/>
              <w:left w:val="nil"/>
              <w:bottom w:val="single" w:color="auto" w:sz="4" w:space="0"/>
              <w:right w:val="single" w:color="auto" w:sz="4" w:space="0"/>
            </w:tcBorders>
            <w:noWrap/>
            <w:vAlign w:val="center"/>
          </w:tcPr>
          <w:p w14:paraId="018C40C0">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w:t>
            </w:r>
          </w:p>
        </w:tc>
        <w:tc>
          <w:tcPr>
            <w:tcW w:w="686" w:type="pct"/>
            <w:tcBorders>
              <w:top w:val="nil"/>
              <w:left w:val="nil"/>
              <w:bottom w:val="single" w:color="auto" w:sz="4" w:space="0"/>
              <w:right w:val="single" w:color="auto" w:sz="4" w:space="0"/>
            </w:tcBorders>
            <w:noWrap/>
            <w:vAlign w:val="center"/>
          </w:tcPr>
          <w:p w14:paraId="056B7FA7">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r>
    </w:tbl>
    <w:p w14:paraId="730390B8">
      <w:pPr>
        <w:ind w:firstLine="482"/>
        <w:rPr>
          <w:rFonts w:hint="eastAsia" w:ascii="宋体" w:hAnsi="宋体" w:eastAsia="宋体" w:cs="宋体"/>
          <w:b/>
          <w:color w:val="000000" w:themeColor="text1"/>
          <w:sz w:val="24"/>
          <w:szCs w:val="24"/>
          <w14:textFill>
            <w14:solidFill>
              <w14:schemeClr w14:val="tx1"/>
            </w14:solidFill>
          </w14:textFill>
        </w:rPr>
      </w:pPr>
    </w:p>
    <w:p w14:paraId="488691E1">
      <w:pPr>
        <w:ind w:firstLine="48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1)人行横道照明要求</w:t>
      </w:r>
    </w:p>
    <w:p w14:paraId="2D65959F">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人行横道为步行交通与车行交通的交叉，所以街区中部的交叉口是平交口的一种形式。但人行横道设置位置具有不确定性，设置在街区中部的人行横道需要特别的照明。应使得人行横道布置在灯具附近，以产生相对高的照度水平。人行横道的平均照度水平应不低于人行横道所在道路的1.5倍。</w:t>
      </w:r>
    </w:p>
    <w:p w14:paraId="340272FC">
      <w:pPr>
        <w:ind w:left="567" w:firstLine="0" w:firstLineChars="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2)道路交叉口照明</w:t>
      </w:r>
    </w:p>
    <w:p w14:paraId="66457ECC">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道路交叉口有多种不同的形式，不同道路照明等级组成的道路交叉口其照明要求不同，下表给出了连续照明街道道路交叉口的推荐照度值。如果交叉口是非连续性照明，那么需要单独设置交叉口照明系统。</w:t>
      </w:r>
    </w:p>
    <w:p w14:paraId="3CE216CB">
      <w:pPr>
        <w:pStyle w:val="61"/>
        <w:spacing w:beforeLines="0" w:after="0" w:afterAutospacing="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交会区照明标准值</w:t>
      </w:r>
    </w:p>
    <w:tbl>
      <w:tblPr>
        <w:tblStyle w:val="18"/>
        <w:tblW w:w="8580" w:type="dxa"/>
        <w:jc w:val="center"/>
        <w:tblLayout w:type="fixed"/>
        <w:tblCellMar>
          <w:top w:w="0" w:type="dxa"/>
          <w:left w:w="108" w:type="dxa"/>
          <w:bottom w:w="0" w:type="dxa"/>
          <w:right w:w="108" w:type="dxa"/>
        </w:tblCellMar>
      </w:tblPr>
      <w:tblGrid>
        <w:gridCol w:w="2960"/>
        <w:gridCol w:w="2420"/>
        <w:gridCol w:w="1138"/>
        <w:gridCol w:w="2062"/>
      </w:tblGrid>
      <w:tr w14:paraId="5FC7853D">
        <w:tblPrEx>
          <w:tblCellMar>
            <w:top w:w="0" w:type="dxa"/>
            <w:left w:w="108" w:type="dxa"/>
            <w:bottom w:w="0" w:type="dxa"/>
            <w:right w:w="108" w:type="dxa"/>
          </w:tblCellMar>
        </w:tblPrEx>
        <w:trPr>
          <w:trHeight w:val="300" w:hRule="atLeast"/>
          <w:jc w:val="center"/>
        </w:trPr>
        <w:tc>
          <w:tcPr>
            <w:tcW w:w="2960" w:type="dxa"/>
            <w:tcBorders>
              <w:top w:val="single" w:color="auto" w:sz="4" w:space="0"/>
              <w:left w:val="single" w:color="auto" w:sz="4" w:space="0"/>
              <w:bottom w:val="single" w:color="auto" w:sz="4" w:space="0"/>
              <w:right w:val="single" w:color="auto" w:sz="4" w:space="0"/>
            </w:tcBorders>
            <w:noWrap/>
            <w:vAlign w:val="center"/>
          </w:tcPr>
          <w:p w14:paraId="394417B5">
            <w:pPr>
              <w:pStyle w:val="60"/>
              <w:rPr>
                <w:rFonts w:hint="eastAsia" w:ascii="宋体" w:hAnsi="宋体" w:eastAsia="宋体" w:cs="宋体"/>
                <w:color w:val="000000" w:themeColor="text1"/>
                <w:sz w:val="24"/>
                <w:szCs w:val="24"/>
                <w14:textFill>
                  <w14:solidFill>
                    <w14:schemeClr w14:val="tx1"/>
                  </w14:solidFill>
                </w14:textFill>
              </w:rPr>
            </w:pPr>
            <w:bookmarkStart w:id="8" w:name="_Hlk56170629"/>
            <w:bookmarkEnd w:id="8"/>
            <w:r>
              <w:rPr>
                <w:rFonts w:hint="eastAsia" w:ascii="宋体" w:hAnsi="宋体" w:eastAsia="宋体" w:cs="宋体"/>
                <w:color w:val="000000" w:themeColor="text1"/>
                <w:sz w:val="24"/>
                <w:szCs w:val="24"/>
                <w14:textFill>
                  <w14:solidFill>
                    <w14:schemeClr w14:val="tx1"/>
                  </w14:solidFill>
                </w14:textFill>
              </w:rPr>
              <w:t>交会区类型</w:t>
            </w:r>
          </w:p>
        </w:tc>
        <w:tc>
          <w:tcPr>
            <w:tcW w:w="2420" w:type="dxa"/>
            <w:tcBorders>
              <w:top w:val="single" w:color="auto" w:sz="4" w:space="0"/>
              <w:left w:val="nil"/>
              <w:bottom w:val="single" w:color="auto" w:sz="4" w:space="0"/>
              <w:right w:val="single" w:color="auto" w:sz="4" w:space="0"/>
            </w:tcBorders>
            <w:noWrap/>
            <w:vAlign w:val="center"/>
          </w:tcPr>
          <w:p w14:paraId="13C9DFD5">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路面平均照度Eh.av (lx), 维持值</w:t>
            </w:r>
          </w:p>
        </w:tc>
        <w:tc>
          <w:tcPr>
            <w:tcW w:w="1138" w:type="dxa"/>
            <w:tcBorders>
              <w:top w:val="single" w:color="auto" w:sz="4" w:space="0"/>
              <w:left w:val="nil"/>
              <w:bottom w:val="single" w:color="auto" w:sz="4" w:space="0"/>
              <w:right w:val="single" w:color="auto" w:sz="4" w:space="0"/>
            </w:tcBorders>
            <w:noWrap/>
            <w:vAlign w:val="center"/>
          </w:tcPr>
          <w:p w14:paraId="366A0140">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照度均匀度U</w:t>
            </w:r>
            <w:r>
              <w:rPr>
                <w:rFonts w:hint="eastAsia" w:ascii="宋体" w:hAnsi="宋体" w:eastAsia="宋体" w:cs="宋体"/>
                <w:color w:val="000000" w:themeColor="text1"/>
                <w:sz w:val="24"/>
                <w:szCs w:val="24"/>
                <w:vertAlign w:val="subscript"/>
                <w14:textFill>
                  <w14:solidFill>
                    <w14:schemeClr w14:val="tx1"/>
                  </w14:solidFill>
                </w14:textFill>
              </w:rPr>
              <w:t>E</w:t>
            </w:r>
          </w:p>
        </w:tc>
        <w:tc>
          <w:tcPr>
            <w:tcW w:w="2062" w:type="dxa"/>
            <w:tcBorders>
              <w:top w:val="single" w:color="auto" w:sz="4" w:space="0"/>
              <w:left w:val="nil"/>
              <w:bottom w:val="single" w:color="auto" w:sz="4" w:space="0"/>
              <w:right w:val="single" w:color="auto" w:sz="4" w:space="0"/>
            </w:tcBorders>
            <w:vAlign w:val="center"/>
          </w:tcPr>
          <w:p w14:paraId="4206D4FD">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眩光控制</w:t>
            </w:r>
          </w:p>
        </w:tc>
      </w:tr>
      <w:tr w14:paraId="72D8451E">
        <w:tblPrEx>
          <w:tblCellMar>
            <w:top w:w="0" w:type="dxa"/>
            <w:left w:w="108" w:type="dxa"/>
            <w:bottom w:w="0" w:type="dxa"/>
            <w:right w:w="108" w:type="dxa"/>
          </w:tblCellMar>
        </w:tblPrEx>
        <w:trPr>
          <w:trHeight w:val="270" w:hRule="atLeast"/>
          <w:jc w:val="center"/>
        </w:trPr>
        <w:tc>
          <w:tcPr>
            <w:tcW w:w="2960" w:type="dxa"/>
            <w:tcBorders>
              <w:top w:val="nil"/>
              <w:left w:val="single" w:color="auto" w:sz="4" w:space="0"/>
              <w:bottom w:val="single" w:color="auto" w:sz="4" w:space="0"/>
              <w:right w:val="single" w:color="auto" w:sz="4" w:space="0"/>
            </w:tcBorders>
            <w:noWrap/>
            <w:vAlign w:val="center"/>
          </w:tcPr>
          <w:p w14:paraId="5DDACD1F">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主干路与主干路交会</w:t>
            </w:r>
          </w:p>
        </w:tc>
        <w:tc>
          <w:tcPr>
            <w:tcW w:w="2420" w:type="dxa"/>
            <w:vMerge w:val="restart"/>
            <w:tcBorders>
              <w:top w:val="nil"/>
              <w:left w:val="nil"/>
              <w:bottom w:val="single" w:color="auto" w:sz="4" w:space="0"/>
              <w:right w:val="single" w:color="auto" w:sz="4" w:space="0"/>
            </w:tcBorders>
            <w:noWrap/>
            <w:vAlign w:val="center"/>
          </w:tcPr>
          <w:p w14:paraId="027D5594">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30/50</w:t>
            </w:r>
          </w:p>
        </w:tc>
        <w:tc>
          <w:tcPr>
            <w:tcW w:w="1138" w:type="dxa"/>
            <w:vMerge w:val="restart"/>
            <w:tcBorders>
              <w:top w:val="nil"/>
              <w:left w:val="nil"/>
              <w:bottom w:val="single" w:color="auto" w:sz="4" w:space="0"/>
              <w:right w:val="single" w:color="auto" w:sz="4" w:space="0"/>
            </w:tcBorders>
            <w:noWrap/>
            <w:vAlign w:val="center"/>
          </w:tcPr>
          <w:p w14:paraId="242D3A30">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0.4</w:t>
            </w:r>
          </w:p>
        </w:tc>
        <w:tc>
          <w:tcPr>
            <w:tcW w:w="2062" w:type="dxa"/>
            <w:vMerge w:val="restart"/>
            <w:tcBorders>
              <w:top w:val="nil"/>
              <w:left w:val="nil"/>
              <w:right w:val="single" w:color="auto" w:sz="4" w:space="0"/>
            </w:tcBorders>
            <w:vAlign w:val="center"/>
          </w:tcPr>
          <w:p w14:paraId="7539E726">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在驾驶员观看灯具的方位角上，灯具在90°和 80°高度角方向上的光强分别不得超过10ed /1000lm和30cd/1000lm</w:t>
            </w:r>
          </w:p>
        </w:tc>
      </w:tr>
      <w:tr w14:paraId="5F3C7159">
        <w:tblPrEx>
          <w:tblCellMar>
            <w:top w:w="0" w:type="dxa"/>
            <w:left w:w="108" w:type="dxa"/>
            <w:bottom w:w="0" w:type="dxa"/>
            <w:right w:w="108" w:type="dxa"/>
          </w:tblCellMar>
        </w:tblPrEx>
        <w:trPr>
          <w:trHeight w:val="270" w:hRule="atLeast"/>
          <w:jc w:val="center"/>
        </w:trPr>
        <w:tc>
          <w:tcPr>
            <w:tcW w:w="2960" w:type="dxa"/>
            <w:tcBorders>
              <w:top w:val="nil"/>
              <w:left w:val="single" w:color="auto" w:sz="4" w:space="0"/>
              <w:bottom w:val="single" w:color="auto" w:sz="4" w:space="0"/>
              <w:right w:val="single" w:color="auto" w:sz="4" w:space="0"/>
            </w:tcBorders>
            <w:noWrap/>
            <w:vAlign w:val="center"/>
          </w:tcPr>
          <w:p w14:paraId="5E40BAF8">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主干路与次干路交会</w:t>
            </w:r>
          </w:p>
        </w:tc>
        <w:tc>
          <w:tcPr>
            <w:tcW w:w="2420" w:type="dxa"/>
            <w:vMerge w:val="continue"/>
            <w:tcBorders>
              <w:top w:val="nil"/>
              <w:left w:val="nil"/>
              <w:bottom w:val="single" w:color="auto" w:sz="4" w:space="0"/>
              <w:right w:val="single" w:color="auto" w:sz="4" w:space="0"/>
            </w:tcBorders>
            <w:vAlign w:val="center"/>
          </w:tcPr>
          <w:p w14:paraId="1053A085">
            <w:pPr>
              <w:widowControl/>
              <w:spacing w:line="240" w:lineRule="auto"/>
              <w:ind w:firstLine="0" w:firstLineChars="0"/>
              <w:jc w:val="left"/>
              <w:rPr>
                <w:rFonts w:hint="eastAsia" w:ascii="宋体" w:hAnsi="宋体" w:eastAsia="宋体" w:cs="宋体"/>
                <w:bCs/>
                <w:color w:val="000000" w:themeColor="text1"/>
                <w:kern w:val="0"/>
                <w:sz w:val="24"/>
                <w:szCs w:val="24"/>
                <w14:textFill>
                  <w14:solidFill>
                    <w14:schemeClr w14:val="tx1"/>
                  </w14:solidFill>
                </w14:textFill>
              </w:rPr>
            </w:pPr>
          </w:p>
        </w:tc>
        <w:tc>
          <w:tcPr>
            <w:tcW w:w="1138" w:type="dxa"/>
            <w:vMerge w:val="continue"/>
            <w:tcBorders>
              <w:top w:val="nil"/>
              <w:left w:val="nil"/>
              <w:bottom w:val="single" w:color="auto" w:sz="4" w:space="0"/>
              <w:right w:val="single" w:color="auto" w:sz="4" w:space="0"/>
            </w:tcBorders>
            <w:vAlign w:val="center"/>
          </w:tcPr>
          <w:p w14:paraId="722619EC">
            <w:pPr>
              <w:widowControl/>
              <w:spacing w:line="240" w:lineRule="auto"/>
              <w:ind w:firstLine="0" w:firstLineChars="0"/>
              <w:jc w:val="left"/>
              <w:rPr>
                <w:rFonts w:hint="eastAsia" w:ascii="宋体" w:hAnsi="宋体" w:eastAsia="宋体" w:cs="宋体"/>
                <w:bCs/>
                <w:color w:val="000000" w:themeColor="text1"/>
                <w:kern w:val="0"/>
                <w:sz w:val="24"/>
                <w:szCs w:val="24"/>
                <w14:textFill>
                  <w14:solidFill>
                    <w14:schemeClr w14:val="tx1"/>
                  </w14:solidFill>
                </w14:textFill>
              </w:rPr>
            </w:pPr>
          </w:p>
        </w:tc>
        <w:tc>
          <w:tcPr>
            <w:tcW w:w="2062" w:type="dxa"/>
            <w:vMerge w:val="continue"/>
            <w:tcBorders>
              <w:left w:val="nil"/>
              <w:right w:val="single" w:color="auto" w:sz="4" w:space="0"/>
            </w:tcBorders>
          </w:tcPr>
          <w:p w14:paraId="02BAD60F">
            <w:pPr>
              <w:widowControl/>
              <w:spacing w:line="240" w:lineRule="auto"/>
              <w:ind w:firstLine="0" w:firstLineChars="0"/>
              <w:jc w:val="left"/>
              <w:rPr>
                <w:rFonts w:hint="eastAsia" w:ascii="宋体" w:hAnsi="宋体" w:eastAsia="宋体" w:cs="宋体"/>
                <w:bCs/>
                <w:color w:val="000000" w:themeColor="text1"/>
                <w:kern w:val="0"/>
                <w:sz w:val="24"/>
                <w:szCs w:val="24"/>
                <w14:textFill>
                  <w14:solidFill>
                    <w14:schemeClr w14:val="tx1"/>
                  </w14:solidFill>
                </w14:textFill>
              </w:rPr>
            </w:pPr>
          </w:p>
        </w:tc>
      </w:tr>
      <w:tr w14:paraId="01F82412">
        <w:tblPrEx>
          <w:tblCellMar>
            <w:top w:w="0" w:type="dxa"/>
            <w:left w:w="108" w:type="dxa"/>
            <w:bottom w:w="0" w:type="dxa"/>
            <w:right w:w="108" w:type="dxa"/>
          </w:tblCellMar>
        </w:tblPrEx>
        <w:trPr>
          <w:trHeight w:val="270" w:hRule="atLeast"/>
          <w:jc w:val="center"/>
        </w:trPr>
        <w:tc>
          <w:tcPr>
            <w:tcW w:w="2960" w:type="dxa"/>
            <w:tcBorders>
              <w:top w:val="nil"/>
              <w:left w:val="single" w:color="auto" w:sz="4" w:space="0"/>
              <w:bottom w:val="single" w:color="auto" w:sz="4" w:space="0"/>
              <w:right w:val="single" w:color="auto" w:sz="4" w:space="0"/>
            </w:tcBorders>
            <w:noWrap/>
            <w:vAlign w:val="center"/>
          </w:tcPr>
          <w:p w14:paraId="24537015">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主干路与支路交会</w:t>
            </w:r>
          </w:p>
        </w:tc>
        <w:tc>
          <w:tcPr>
            <w:tcW w:w="2420" w:type="dxa"/>
            <w:vMerge w:val="continue"/>
            <w:tcBorders>
              <w:top w:val="nil"/>
              <w:left w:val="nil"/>
              <w:bottom w:val="single" w:color="auto" w:sz="4" w:space="0"/>
              <w:right w:val="single" w:color="auto" w:sz="4" w:space="0"/>
            </w:tcBorders>
            <w:vAlign w:val="center"/>
          </w:tcPr>
          <w:p w14:paraId="6E178993">
            <w:pPr>
              <w:widowControl/>
              <w:spacing w:line="240" w:lineRule="auto"/>
              <w:ind w:firstLine="0" w:firstLineChars="0"/>
              <w:jc w:val="left"/>
              <w:rPr>
                <w:rFonts w:hint="eastAsia" w:ascii="宋体" w:hAnsi="宋体" w:eastAsia="宋体" w:cs="宋体"/>
                <w:bCs/>
                <w:color w:val="000000" w:themeColor="text1"/>
                <w:kern w:val="0"/>
                <w:sz w:val="24"/>
                <w:szCs w:val="24"/>
                <w14:textFill>
                  <w14:solidFill>
                    <w14:schemeClr w14:val="tx1"/>
                  </w14:solidFill>
                </w14:textFill>
              </w:rPr>
            </w:pPr>
          </w:p>
        </w:tc>
        <w:tc>
          <w:tcPr>
            <w:tcW w:w="1138" w:type="dxa"/>
            <w:vMerge w:val="continue"/>
            <w:tcBorders>
              <w:top w:val="nil"/>
              <w:left w:val="nil"/>
              <w:bottom w:val="single" w:color="auto" w:sz="4" w:space="0"/>
              <w:right w:val="single" w:color="auto" w:sz="4" w:space="0"/>
            </w:tcBorders>
            <w:vAlign w:val="center"/>
          </w:tcPr>
          <w:p w14:paraId="1897152D">
            <w:pPr>
              <w:widowControl/>
              <w:spacing w:line="240" w:lineRule="auto"/>
              <w:ind w:firstLine="0" w:firstLineChars="0"/>
              <w:jc w:val="left"/>
              <w:rPr>
                <w:rFonts w:hint="eastAsia" w:ascii="宋体" w:hAnsi="宋体" w:eastAsia="宋体" w:cs="宋体"/>
                <w:bCs/>
                <w:color w:val="000000" w:themeColor="text1"/>
                <w:kern w:val="0"/>
                <w:sz w:val="24"/>
                <w:szCs w:val="24"/>
                <w14:textFill>
                  <w14:solidFill>
                    <w14:schemeClr w14:val="tx1"/>
                  </w14:solidFill>
                </w14:textFill>
              </w:rPr>
            </w:pPr>
          </w:p>
        </w:tc>
        <w:tc>
          <w:tcPr>
            <w:tcW w:w="2062" w:type="dxa"/>
            <w:vMerge w:val="continue"/>
            <w:tcBorders>
              <w:left w:val="nil"/>
              <w:right w:val="single" w:color="auto" w:sz="4" w:space="0"/>
            </w:tcBorders>
          </w:tcPr>
          <w:p w14:paraId="55055842">
            <w:pPr>
              <w:widowControl/>
              <w:spacing w:line="240" w:lineRule="auto"/>
              <w:ind w:firstLine="0" w:firstLineChars="0"/>
              <w:jc w:val="left"/>
              <w:rPr>
                <w:rFonts w:hint="eastAsia" w:ascii="宋体" w:hAnsi="宋体" w:eastAsia="宋体" w:cs="宋体"/>
                <w:bCs/>
                <w:color w:val="000000" w:themeColor="text1"/>
                <w:kern w:val="0"/>
                <w:sz w:val="24"/>
                <w:szCs w:val="24"/>
                <w14:textFill>
                  <w14:solidFill>
                    <w14:schemeClr w14:val="tx1"/>
                  </w14:solidFill>
                </w14:textFill>
              </w:rPr>
            </w:pPr>
          </w:p>
        </w:tc>
      </w:tr>
      <w:tr w14:paraId="07370335">
        <w:tblPrEx>
          <w:tblCellMar>
            <w:top w:w="0" w:type="dxa"/>
            <w:left w:w="108" w:type="dxa"/>
            <w:bottom w:w="0" w:type="dxa"/>
            <w:right w:w="108" w:type="dxa"/>
          </w:tblCellMar>
        </w:tblPrEx>
        <w:trPr>
          <w:trHeight w:val="270" w:hRule="atLeast"/>
          <w:jc w:val="center"/>
        </w:trPr>
        <w:tc>
          <w:tcPr>
            <w:tcW w:w="2960" w:type="dxa"/>
            <w:tcBorders>
              <w:top w:val="nil"/>
              <w:left w:val="single" w:color="auto" w:sz="4" w:space="0"/>
              <w:bottom w:val="single" w:color="auto" w:sz="4" w:space="0"/>
              <w:right w:val="single" w:color="auto" w:sz="4" w:space="0"/>
            </w:tcBorders>
            <w:noWrap/>
            <w:vAlign w:val="center"/>
          </w:tcPr>
          <w:p w14:paraId="698D6161">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次干路与次干路交会</w:t>
            </w:r>
          </w:p>
        </w:tc>
        <w:tc>
          <w:tcPr>
            <w:tcW w:w="2420" w:type="dxa"/>
            <w:vMerge w:val="restart"/>
            <w:tcBorders>
              <w:top w:val="nil"/>
              <w:left w:val="nil"/>
              <w:bottom w:val="single" w:color="auto" w:sz="4" w:space="0"/>
              <w:right w:val="single" w:color="auto" w:sz="4" w:space="0"/>
            </w:tcBorders>
            <w:noWrap/>
            <w:vAlign w:val="center"/>
          </w:tcPr>
          <w:p w14:paraId="59AAFF7C">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20/30</w:t>
            </w:r>
          </w:p>
        </w:tc>
        <w:tc>
          <w:tcPr>
            <w:tcW w:w="1138" w:type="dxa"/>
            <w:vMerge w:val="continue"/>
            <w:tcBorders>
              <w:top w:val="nil"/>
              <w:left w:val="nil"/>
              <w:bottom w:val="single" w:color="auto" w:sz="4" w:space="0"/>
              <w:right w:val="single" w:color="auto" w:sz="4" w:space="0"/>
            </w:tcBorders>
            <w:vAlign w:val="center"/>
          </w:tcPr>
          <w:p w14:paraId="41EA6210">
            <w:pPr>
              <w:widowControl/>
              <w:spacing w:line="240" w:lineRule="auto"/>
              <w:ind w:firstLine="0" w:firstLineChars="0"/>
              <w:jc w:val="left"/>
              <w:rPr>
                <w:rFonts w:hint="eastAsia" w:ascii="宋体" w:hAnsi="宋体" w:eastAsia="宋体" w:cs="宋体"/>
                <w:bCs/>
                <w:color w:val="000000" w:themeColor="text1"/>
                <w:kern w:val="0"/>
                <w:sz w:val="24"/>
                <w:szCs w:val="24"/>
                <w14:textFill>
                  <w14:solidFill>
                    <w14:schemeClr w14:val="tx1"/>
                  </w14:solidFill>
                </w14:textFill>
              </w:rPr>
            </w:pPr>
          </w:p>
        </w:tc>
        <w:tc>
          <w:tcPr>
            <w:tcW w:w="2062" w:type="dxa"/>
            <w:vMerge w:val="continue"/>
            <w:tcBorders>
              <w:left w:val="nil"/>
              <w:right w:val="single" w:color="auto" w:sz="4" w:space="0"/>
            </w:tcBorders>
          </w:tcPr>
          <w:p w14:paraId="69C67D7A">
            <w:pPr>
              <w:widowControl/>
              <w:spacing w:line="240" w:lineRule="auto"/>
              <w:ind w:firstLine="0" w:firstLineChars="0"/>
              <w:jc w:val="left"/>
              <w:rPr>
                <w:rFonts w:hint="eastAsia" w:ascii="宋体" w:hAnsi="宋体" w:eastAsia="宋体" w:cs="宋体"/>
                <w:bCs/>
                <w:color w:val="000000" w:themeColor="text1"/>
                <w:kern w:val="0"/>
                <w:sz w:val="24"/>
                <w:szCs w:val="24"/>
                <w14:textFill>
                  <w14:solidFill>
                    <w14:schemeClr w14:val="tx1"/>
                  </w14:solidFill>
                </w14:textFill>
              </w:rPr>
            </w:pPr>
          </w:p>
        </w:tc>
      </w:tr>
      <w:tr w14:paraId="5C77D37B">
        <w:tblPrEx>
          <w:tblCellMar>
            <w:top w:w="0" w:type="dxa"/>
            <w:left w:w="108" w:type="dxa"/>
            <w:bottom w:w="0" w:type="dxa"/>
            <w:right w:w="108" w:type="dxa"/>
          </w:tblCellMar>
        </w:tblPrEx>
        <w:trPr>
          <w:trHeight w:val="270" w:hRule="atLeast"/>
          <w:jc w:val="center"/>
        </w:trPr>
        <w:tc>
          <w:tcPr>
            <w:tcW w:w="2960" w:type="dxa"/>
            <w:tcBorders>
              <w:top w:val="nil"/>
              <w:left w:val="single" w:color="auto" w:sz="4" w:space="0"/>
              <w:bottom w:val="single" w:color="auto" w:sz="4" w:space="0"/>
              <w:right w:val="single" w:color="auto" w:sz="4" w:space="0"/>
            </w:tcBorders>
            <w:noWrap/>
            <w:vAlign w:val="center"/>
          </w:tcPr>
          <w:p w14:paraId="636C27E7">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次干路与支路交会</w:t>
            </w:r>
          </w:p>
        </w:tc>
        <w:tc>
          <w:tcPr>
            <w:tcW w:w="2420" w:type="dxa"/>
            <w:vMerge w:val="continue"/>
            <w:tcBorders>
              <w:top w:val="nil"/>
              <w:left w:val="nil"/>
              <w:bottom w:val="single" w:color="auto" w:sz="4" w:space="0"/>
              <w:right w:val="single" w:color="auto" w:sz="4" w:space="0"/>
            </w:tcBorders>
            <w:vAlign w:val="center"/>
          </w:tcPr>
          <w:p w14:paraId="495FFD5E">
            <w:pPr>
              <w:widowControl/>
              <w:spacing w:line="240" w:lineRule="auto"/>
              <w:ind w:firstLine="0" w:firstLineChars="0"/>
              <w:jc w:val="left"/>
              <w:rPr>
                <w:rFonts w:hint="eastAsia" w:ascii="宋体" w:hAnsi="宋体" w:eastAsia="宋体" w:cs="宋体"/>
                <w:bCs/>
                <w:color w:val="000000" w:themeColor="text1"/>
                <w:kern w:val="0"/>
                <w:sz w:val="24"/>
                <w:szCs w:val="24"/>
                <w14:textFill>
                  <w14:solidFill>
                    <w14:schemeClr w14:val="tx1"/>
                  </w14:solidFill>
                </w14:textFill>
              </w:rPr>
            </w:pPr>
          </w:p>
        </w:tc>
        <w:tc>
          <w:tcPr>
            <w:tcW w:w="1138" w:type="dxa"/>
            <w:vMerge w:val="continue"/>
            <w:tcBorders>
              <w:top w:val="nil"/>
              <w:left w:val="nil"/>
              <w:bottom w:val="single" w:color="auto" w:sz="4" w:space="0"/>
              <w:right w:val="single" w:color="auto" w:sz="4" w:space="0"/>
            </w:tcBorders>
            <w:vAlign w:val="center"/>
          </w:tcPr>
          <w:p w14:paraId="03255085">
            <w:pPr>
              <w:widowControl/>
              <w:spacing w:line="240" w:lineRule="auto"/>
              <w:ind w:firstLine="0" w:firstLineChars="0"/>
              <w:jc w:val="left"/>
              <w:rPr>
                <w:rFonts w:hint="eastAsia" w:ascii="宋体" w:hAnsi="宋体" w:eastAsia="宋体" w:cs="宋体"/>
                <w:bCs/>
                <w:color w:val="000000" w:themeColor="text1"/>
                <w:kern w:val="0"/>
                <w:sz w:val="24"/>
                <w:szCs w:val="24"/>
                <w14:textFill>
                  <w14:solidFill>
                    <w14:schemeClr w14:val="tx1"/>
                  </w14:solidFill>
                </w14:textFill>
              </w:rPr>
            </w:pPr>
          </w:p>
        </w:tc>
        <w:tc>
          <w:tcPr>
            <w:tcW w:w="2062" w:type="dxa"/>
            <w:vMerge w:val="continue"/>
            <w:tcBorders>
              <w:left w:val="nil"/>
              <w:right w:val="single" w:color="auto" w:sz="4" w:space="0"/>
            </w:tcBorders>
          </w:tcPr>
          <w:p w14:paraId="65206CFD">
            <w:pPr>
              <w:widowControl/>
              <w:spacing w:line="240" w:lineRule="auto"/>
              <w:ind w:firstLine="0" w:firstLineChars="0"/>
              <w:jc w:val="left"/>
              <w:rPr>
                <w:rFonts w:hint="eastAsia" w:ascii="宋体" w:hAnsi="宋体" w:eastAsia="宋体" w:cs="宋体"/>
                <w:bCs/>
                <w:color w:val="000000" w:themeColor="text1"/>
                <w:kern w:val="0"/>
                <w:sz w:val="24"/>
                <w:szCs w:val="24"/>
                <w14:textFill>
                  <w14:solidFill>
                    <w14:schemeClr w14:val="tx1"/>
                  </w14:solidFill>
                </w14:textFill>
              </w:rPr>
            </w:pPr>
          </w:p>
        </w:tc>
      </w:tr>
      <w:tr w14:paraId="1117C6E9">
        <w:tblPrEx>
          <w:tblCellMar>
            <w:top w:w="0" w:type="dxa"/>
            <w:left w:w="108" w:type="dxa"/>
            <w:bottom w:w="0" w:type="dxa"/>
            <w:right w:w="108" w:type="dxa"/>
          </w:tblCellMar>
        </w:tblPrEx>
        <w:trPr>
          <w:trHeight w:val="270" w:hRule="atLeast"/>
          <w:jc w:val="center"/>
        </w:trPr>
        <w:tc>
          <w:tcPr>
            <w:tcW w:w="2960" w:type="dxa"/>
            <w:tcBorders>
              <w:top w:val="nil"/>
              <w:left w:val="single" w:color="auto" w:sz="4" w:space="0"/>
              <w:bottom w:val="single" w:color="auto" w:sz="4" w:space="0"/>
              <w:right w:val="single" w:color="auto" w:sz="4" w:space="0"/>
            </w:tcBorders>
            <w:noWrap/>
            <w:vAlign w:val="center"/>
          </w:tcPr>
          <w:p w14:paraId="753C849C">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支路与支路交会</w:t>
            </w:r>
          </w:p>
        </w:tc>
        <w:tc>
          <w:tcPr>
            <w:tcW w:w="2420" w:type="dxa"/>
            <w:tcBorders>
              <w:top w:val="nil"/>
              <w:left w:val="nil"/>
              <w:bottom w:val="single" w:color="auto" w:sz="4" w:space="0"/>
              <w:right w:val="single" w:color="auto" w:sz="4" w:space="0"/>
            </w:tcBorders>
            <w:noWrap/>
            <w:vAlign w:val="center"/>
          </w:tcPr>
          <w:p w14:paraId="3E81A8D3">
            <w:pPr>
              <w:pStyle w:val="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15/20</w:t>
            </w:r>
          </w:p>
        </w:tc>
        <w:tc>
          <w:tcPr>
            <w:tcW w:w="1138" w:type="dxa"/>
            <w:vMerge w:val="continue"/>
            <w:tcBorders>
              <w:top w:val="nil"/>
              <w:left w:val="nil"/>
              <w:bottom w:val="single" w:color="auto" w:sz="4" w:space="0"/>
              <w:right w:val="single" w:color="auto" w:sz="4" w:space="0"/>
            </w:tcBorders>
            <w:vAlign w:val="center"/>
          </w:tcPr>
          <w:p w14:paraId="06DD4CCD">
            <w:pPr>
              <w:widowControl/>
              <w:spacing w:line="240" w:lineRule="auto"/>
              <w:ind w:firstLine="0" w:firstLineChars="0"/>
              <w:jc w:val="left"/>
              <w:rPr>
                <w:rFonts w:hint="eastAsia" w:ascii="宋体" w:hAnsi="宋体" w:eastAsia="宋体" w:cs="宋体"/>
                <w:bCs/>
                <w:color w:val="000000" w:themeColor="text1"/>
                <w:kern w:val="0"/>
                <w:sz w:val="24"/>
                <w:szCs w:val="24"/>
                <w14:textFill>
                  <w14:solidFill>
                    <w14:schemeClr w14:val="tx1"/>
                  </w14:solidFill>
                </w14:textFill>
              </w:rPr>
            </w:pPr>
          </w:p>
        </w:tc>
        <w:tc>
          <w:tcPr>
            <w:tcW w:w="2062" w:type="dxa"/>
            <w:vMerge w:val="continue"/>
            <w:tcBorders>
              <w:left w:val="nil"/>
              <w:bottom w:val="single" w:color="auto" w:sz="4" w:space="0"/>
              <w:right w:val="single" w:color="auto" w:sz="4" w:space="0"/>
            </w:tcBorders>
          </w:tcPr>
          <w:p w14:paraId="41B65E7A">
            <w:pPr>
              <w:widowControl/>
              <w:spacing w:line="240" w:lineRule="auto"/>
              <w:ind w:firstLine="0" w:firstLineChars="0"/>
              <w:jc w:val="left"/>
              <w:rPr>
                <w:rFonts w:hint="eastAsia" w:ascii="宋体" w:hAnsi="宋体" w:eastAsia="宋体" w:cs="宋体"/>
                <w:bCs/>
                <w:color w:val="000000" w:themeColor="text1"/>
                <w:kern w:val="0"/>
                <w:sz w:val="24"/>
                <w:szCs w:val="24"/>
                <w14:textFill>
                  <w14:solidFill>
                    <w14:schemeClr w14:val="tx1"/>
                  </w14:solidFill>
                </w14:textFill>
              </w:rPr>
            </w:pPr>
          </w:p>
        </w:tc>
      </w:tr>
    </w:tbl>
    <w:p w14:paraId="520C8846">
      <w:pPr>
        <w:pStyle w:val="3"/>
        <w:spacing w:before="163" w:after="163"/>
        <w:ind w:firstLine="60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bookmarkStart w:id="9" w:name="_Toc71902203"/>
      <w:bookmarkStart w:id="10" w:name="_Toc76744999"/>
      <w:r>
        <w:rPr>
          <w:rFonts w:hint="eastAsia" w:ascii="宋体" w:hAnsi="宋体" w:eastAsia="宋体" w:cs="宋体"/>
          <w:color w:val="000000" w:themeColor="text1"/>
          <w:sz w:val="24"/>
          <w:szCs w:val="24"/>
          <w14:textFill>
            <w14:solidFill>
              <w14:schemeClr w14:val="tx1"/>
            </w14:solidFill>
          </w14:textFill>
        </w:rPr>
        <w:t>设计依据</w:t>
      </w:r>
      <w:bookmarkEnd w:id="9"/>
      <w:bookmarkEnd w:id="10"/>
    </w:p>
    <w:p w14:paraId="71021E2B">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（1）《城市道路照明设计标准》（CJJ 45-2015）；</w:t>
      </w:r>
    </w:p>
    <w:p w14:paraId="6321BC23">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（2）《电力工程电缆设计标准》（GB 50217-2018）；</w:t>
      </w:r>
    </w:p>
    <w:p w14:paraId="2517DCCB">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（3）《20KV及以下变电所设计规范》（GB 50053-2013）；</w:t>
      </w:r>
    </w:p>
    <w:p w14:paraId="77DA161B">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（4）《供配电系统设计规范》（GB 50052-2009）；</w:t>
      </w:r>
    </w:p>
    <w:p w14:paraId="19E9814C">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（5）《低压配电设计规范》（GB 50054-2011）；</w:t>
      </w:r>
    </w:p>
    <w:p w14:paraId="0641643B">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（6）《建筑物防雷设计规范》（GB 50057－2010）；</w:t>
      </w:r>
    </w:p>
    <w:p w14:paraId="11986D68">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（7）《LED路灯》 （CJ/T 420-2013）；</w:t>
      </w:r>
    </w:p>
    <w:p w14:paraId="5CD7F2A2">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（8）《交流电气装置的接地设计规范》（GB/T 50065-2011）；</w:t>
      </w:r>
    </w:p>
    <w:p w14:paraId="548819D9">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（9）《道路照明用LED灯性能要求》（GB/T 24907-2010）；</w:t>
      </w:r>
    </w:p>
    <w:p w14:paraId="2327398D">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（10）《道路照明灯杆技术条件》（CT/J 527-2018）；</w:t>
      </w:r>
    </w:p>
    <w:p w14:paraId="390DA946">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（11）《工程结构通用规范》（GB55001-2021）；</w:t>
      </w:r>
    </w:p>
    <w:p w14:paraId="4E70B4D7">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（12）《建筑与市政工程抗震通用规范》（GB55002-2021）；</w:t>
      </w:r>
    </w:p>
    <w:p w14:paraId="2BD54979">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（13）《建筑与市政地基基础通用规范》（GB55003-2021）；</w:t>
      </w:r>
    </w:p>
    <w:p w14:paraId="6978DE41">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（14）《钢结构通用规范》（GB55006-2021）；</w:t>
      </w:r>
    </w:p>
    <w:p w14:paraId="7914CEDC">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（15）《砌体结构通用规范》（GB55007-2021）；</w:t>
      </w:r>
    </w:p>
    <w:p w14:paraId="77C5E094">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（16）《混凝土结构通用规范》（GB55008-2021）；</w:t>
      </w:r>
    </w:p>
    <w:p w14:paraId="11C77BC4">
      <w:pPr>
        <w:ind w:firstLine="960" w:firstLineChars="400"/>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rPr>
        <w:t>（1</w:t>
      </w:r>
      <w:r>
        <w:rPr>
          <w:rFonts w:hint="eastAsia" w:ascii="宋体" w:hAnsi="宋体" w:eastAsia="宋体" w:cs="宋体"/>
          <w:color w:val="FF0000"/>
          <w:sz w:val="24"/>
          <w:szCs w:val="24"/>
          <w:lang w:val="en-US" w:eastAsia="zh-CN"/>
        </w:rPr>
        <w:t>7</w:t>
      </w:r>
      <w:r>
        <w:rPr>
          <w:rFonts w:hint="eastAsia" w:ascii="宋体" w:hAnsi="宋体" w:eastAsia="宋体" w:cs="宋体"/>
          <w:color w:val="FF0000"/>
          <w:sz w:val="24"/>
          <w:szCs w:val="24"/>
        </w:rPr>
        <w:t>）《</w:t>
      </w:r>
      <w:r>
        <w:rPr>
          <w:rFonts w:hint="eastAsia" w:ascii="宋体" w:hAnsi="宋体" w:eastAsia="宋体" w:cs="宋体"/>
          <w:color w:val="FF0000"/>
          <w:sz w:val="24"/>
          <w:szCs w:val="24"/>
          <w:lang w:val="en-US" w:eastAsia="zh-CN"/>
        </w:rPr>
        <w:t>建筑环境通用规范》（GB55016-2021）</w:t>
      </w:r>
      <w:r>
        <w:rPr>
          <w:rFonts w:hint="eastAsia" w:ascii="宋体" w:hAnsi="宋体" w:eastAsia="宋体" w:cs="宋体"/>
          <w:color w:val="FF0000"/>
          <w:sz w:val="24"/>
          <w:szCs w:val="24"/>
        </w:rPr>
        <w:t>；</w:t>
      </w:r>
    </w:p>
    <w:p w14:paraId="216DCE78">
      <w:pPr>
        <w:ind w:firstLine="960" w:firstLineChars="400"/>
        <w:rPr>
          <w:rFonts w:hint="eastAsia" w:ascii="宋体" w:hAnsi="宋体" w:eastAsia="宋体" w:cs="宋体"/>
          <w:color w:val="FF0000"/>
          <w:sz w:val="24"/>
          <w:szCs w:val="24"/>
        </w:rPr>
      </w:pPr>
      <w:r>
        <w:rPr>
          <w:rFonts w:hint="eastAsia" w:ascii="宋体" w:hAnsi="宋体" w:eastAsia="宋体" w:cs="宋体"/>
          <w:color w:val="FF0000"/>
          <w:sz w:val="24"/>
          <w:szCs w:val="24"/>
        </w:rPr>
        <w:t>（1</w:t>
      </w:r>
      <w:r>
        <w:rPr>
          <w:rFonts w:hint="eastAsia" w:ascii="宋体" w:hAnsi="宋体" w:eastAsia="宋体" w:cs="宋体"/>
          <w:color w:val="FF0000"/>
          <w:sz w:val="24"/>
          <w:szCs w:val="24"/>
          <w:lang w:val="en-US" w:eastAsia="zh-CN"/>
        </w:rPr>
        <w:t>8</w:t>
      </w:r>
      <w:r>
        <w:rPr>
          <w:rFonts w:hint="eastAsia" w:ascii="宋体" w:hAnsi="宋体" w:eastAsia="宋体" w:cs="宋体"/>
          <w:color w:val="FF0000"/>
          <w:sz w:val="24"/>
          <w:szCs w:val="24"/>
        </w:rPr>
        <w:t>）《</w:t>
      </w:r>
      <w:r>
        <w:rPr>
          <w:rFonts w:hint="eastAsia" w:ascii="宋体" w:hAnsi="宋体" w:eastAsia="宋体" w:cs="宋体"/>
          <w:color w:val="FF0000"/>
          <w:sz w:val="24"/>
          <w:szCs w:val="24"/>
          <w:lang w:val="en-US" w:eastAsia="zh-CN"/>
        </w:rPr>
        <w:t>道路和隧道照明用LED灯具能效限定值及能效等级》(GB 37478-2019)</w:t>
      </w:r>
      <w:r>
        <w:rPr>
          <w:rFonts w:hint="eastAsia" w:ascii="宋体" w:hAnsi="宋体" w:eastAsia="宋体" w:cs="宋体"/>
          <w:color w:val="FF0000"/>
          <w:sz w:val="24"/>
          <w:szCs w:val="24"/>
        </w:rPr>
        <w:t>；</w:t>
      </w:r>
    </w:p>
    <w:p w14:paraId="046E07FE">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（17）国家现行的其他相关规范、规程、标准。</w:t>
      </w:r>
    </w:p>
    <w:p w14:paraId="27131306">
      <w:pPr>
        <w:pStyle w:val="3"/>
        <w:spacing w:before="163" w:after="163"/>
        <w:ind w:firstLine="602"/>
        <w:rPr>
          <w:rFonts w:hint="eastAsia" w:ascii="宋体" w:hAnsi="宋体" w:eastAsia="宋体" w:cs="宋体"/>
          <w:color w:val="000000" w:themeColor="text1"/>
          <w:sz w:val="24"/>
          <w:szCs w:val="24"/>
          <w14:textFill>
            <w14:solidFill>
              <w14:schemeClr w14:val="tx1"/>
            </w14:solidFill>
          </w14:textFill>
        </w:rPr>
      </w:pPr>
      <w:bookmarkStart w:id="11" w:name="_Toc71902204"/>
      <w:bookmarkStart w:id="12" w:name="_Toc76745000"/>
      <w:r>
        <w:rPr>
          <w:rFonts w:hint="eastAsia" w:ascii="宋体" w:hAnsi="宋体" w:eastAsia="宋体" w:cs="宋体"/>
          <w:color w:val="000000" w:themeColor="text1"/>
          <w:sz w:val="24"/>
          <w:szCs w:val="24"/>
          <w14:textFill>
            <w14:solidFill>
              <w14:schemeClr w14:val="tx1"/>
            </w14:solidFill>
          </w14:textFill>
        </w:rPr>
        <w:t>设计内容</w:t>
      </w:r>
      <w:bookmarkEnd w:id="11"/>
      <w:bookmarkEnd w:id="12"/>
    </w:p>
    <w:p w14:paraId="5BAA8BCD">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（1）道路照明设计； </w:t>
      </w:r>
    </w:p>
    <w:p w14:paraId="725AB3F0">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（2）照明设施的供配电系统设计；</w:t>
      </w:r>
    </w:p>
    <w:p w14:paraId="304239B5">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（3）照明设施的防雷接地设计；</w:t>
      </w:r>
    </w:p>
    <w:p w14:paraId="47E73006">
      <w:pPr>
        <w:ind w:firstLine="960" w:firstLineChars="4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（4）环保节能及电缆防盗措施。</w:t>
      </w:r>
    </w:p>
    <w:p w14:paraId="26ADB81C">
      <w:pPr>
        <w:pStyle w:val="3"/>
        <w:spacing w:before="163" w:after="163"/>
        <w:ind w:firstLine="602"/>
        <w:rPr>
          <w:rFonts w:hint="eastAsia" w:ascii="宋体" w:hAnsi="宋体" w:eastAsia="宋体" w:cs="宋体"/>
          <w:color w:val="000000" w:themeColor="text1"/>
          <w:sz w:val="24"/>
          <w:szCs w:val="24"/>
          <w14:textFill>
            <w14:solidFill>
              <w14:schemeClr w14:val="tx1"/>
            </w14:solidFill>
          </w14:textFill>
        </w:rPr>
      </w:pPr>
      <w:bookmarkStart w:id="13" w:name="_Toc71902205"/>
      <w:bookmarkStart w:id="14" w:name="_Toc76745001"/>
      <w:r>
        <w:rPr>
          <w:rFonts w:hint="eastAsia" w:ascii="宋体" w:hAnsi="宋体" w:eastAsia="宋体" w:cs="宋体"/>
          <w:color w:val="000000" w:themeColor="text1"/>
          <w:sz w:val="24"/>
          <w:szCs w:val="24"/>
          <w14:textFill>
            <w14:solidFill>
              <w14:schemeClr w14:val="tx1"/>
            </w14:solidFill>
          </w14:textFill>
        </w:rPr>
        <w:t>道路照明设计</w:t>
      </w:r>
      <w:bookmarkEnd w:id="13"/>
      <w:bookmarkEnd w:id="14"/>
    </w:p>
    <w:p w14:paraId="4BDFFB14">
      <w:pPr>
        <w:pStyle w:val="4"/>
        <w:spacing w:before="163" w:after="163"/>
        <w:ind w:firstLine="5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照度技术标准参数</w:t>
      </w:r>
    </w:p>
    <w:p w14:paraId="73DD09B1">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本工程现状无照明设施，照明设施新建，按城市次干道和支路标准设计，负荷等级为三级，根据CJJ 45-2015《城市道路照明设计标准》规定：次干路常规段照度：20lx，照度功率密度限值：0.8W/m</w:t>
      </w:r>
      <w:r>
        <w:rPr>
          <w:rFonts w:hint="eastAsia" w:ascii="宋体" w:hAnsi="宋体" w:eastAsia="宋体" w:cs="宋体"/>
          <w:color w:val="000000" w:themeColor="text1"/>
          <w:sz w:val="24"/>
          <w:szCs w:val="24"/>
          <w:vertAlign w:val="superscript"/>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，支路常规段照度：10lx，照度功率密度限值：0.5W/m</w:t>
      </w:r>
      <w:r>
        <w:rPr>
          <w:rFonts w:hint="eastAsia" w:ascii="宋体" w:hAnsi="宋体" w:eastAsia="宋体" w:cs="宋体"/>
          <w:color w:val="000000" w:themeColor="text1"/>
          <w:sz w:val="24"/>
          <w:szCs w:val="24"/>
          <w:vertAlign w:val="superscript"/>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，机场北路与永安路交叉口段照度：50lx，支路四与永安路交叉口段照度：30lx。</w:t>
      </w:r>
    </w:p>
    <w:p w14:paraId="36F5BD68">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计算相关参数：</w:t>
      </w:r>
    </w:p>
    <w:p w14:paraId="54BC1156">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照度计算时LED灯具效能限值≥120lm/W，维护系数取0.7，利用系数取0.7。</w:t>
      </w:r>
    </w:p>
    <w:p w14:paraId="61F1A278">
      <w:pPr>
        <w:pStyle w:val="33"/>
        <w:numPr>
          <w:ilvl w:val="0"/>
          <w:numId w:val="0"/>
        </w:numPr>
        <w:ind w:left="480" w:hanging="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（1）永安东路（双向六车道）</w:t>
      </w:r>
    </w:p>
    <w:p w14:paraId="16BFD14E">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永安东路断面形式为双幅路，路灯采用双侧布置的方式，路灯布置在侧分带中，选用杆高12m高低臂路灯,每杆路灯配置150W/45W</w:t>
      </w:r>
      <w:r>
        <w:rPr>
          <w:rFonts w:hint="eastAsia" w:ascii="宋体" w:hAnsi="宋体" w:eastAsia="宋体" w:cs="宋体"/>
          <w:color w:val="000000" w:themeColor="text1"/>
          <w:sz w:val="24"/>
          <w:szCs w:val="24"/>
          <w:lang w:val="en-US" w:eastAsia="zh-CN"/>
          <w14:textFill>
            <w14:solidFill>
              <w14:schemeClr w14:val="tx1"/>
            </w14:solidFill>
          </w14:textFill>
        </w:rPr>
        <w:t>半截光型</w:t>
      </w:r>
      <w:r>
        <w:rPr>
          <w:rFonts w:hint="eastAsia" w:ascii="宋体" w:hAnsi="宋体" w:eastAsia="宋体" w:cs="宋体"/>
          <w:color w:val="000000" w:themeColor="text1"/>
          <w:sz w:val="24"/>
          <w:szCs w:val="24"/>
          <w14:textFill>
            <w14:solidFill>
              <w14:schemeClr w14:val="tx1"/>
            </w14:solidFill>
          </w14:textFill>
        </w:rPr>
        <w:t xml:space="preserve"> LED灯，路灯悬挑长度2.0m/1.5m，灯具仰角为10°，半截光型灯具，纵向间距30m。</w:t>
      </w:r>
    </w:p>
    <w:p w14:paraId="30513CD3">
      <w:pPr>
        <w:ind w:firstLine="480"/>
        <w:rPr>
          <w:rFonts w:hint="eastAsia" w:ascii="宋体" w:hAnsi="宋体" w:cs="宋体"/>
          <w:color w:val="FF0000"/>
          <w:sz w:val="24"/>
          <w:szCs w:val="24"/>
          <w:lang w:val="en-US" w:eastAsia="zh-CN"/>
        </w:rPr>
      </w:pPr>
      <w:r>
        <w:rPr>
          <w:rFonts w:hint="eastAsia" w:ascii="宋体" w:hAnsi="宋体" w:cs="宋体"/>
          <w:color w:val="FF0000"/>
          <w:sz w:val="24"/>
          <w:szCs w:val="24"/>
          <w:lang w:val="en-US" w:eastAsia="zh-CN"/>
        </w:rPr>
        <w:t>交叉路口采用13米三头路灯，每杆路灯配置3套150W泛光型 LED灯。</w:t>
      </w:r>
      <w:r>
        <w:rPr>
          <w:rFonts w:hint="default" w:ascii="宋体" w:hAnsi="宋体" w:cs="宋体"/>
          <w:color w:val="FF0000"/>
          <w:sz w:val="24"/>
          <w:szCs w:val="24"/>
          <w:lang w:val="en-US" w:eastAsia="zh-CN"/>
        </w:rPr>
        <w:t>室外照明采用泛光照明时，应控制投射范围，散射到被照面之外的溢散光不应超过20%</w:t>
      </w:r>
      <w:r>
        <w:rPr>
          <w:rFonts w:hint="eastAsia" w:ascii="宋体" w:hAnsi="宋体" w:cs="宋体"/>
          <w:color w:val="FF0000"/>
          <w:sz w:val="24"/>
          <w:szCs w:val="24"/>
          <w:lang w:val="en-US" w:eastAsia="zh-CN"/>
        </w:rPr>
        <w:t>。</w:t>
      </w:r>
    </w:p>
    <w:p w14:paraId="58B5490F">
      <w:pPr>
        <w:pStyle w:val="17"/>
        <w:adjustRightInd w:val="0"/>
        <w:snapToGrid w:val="0"/>
        <w:spacing w:after="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道路照明计算：</w:t>
      </w:r>
    </w:p>
    <w:p w14:paraId="706C9D35">
      <w:pPr>
        <w:pStyle w:val="17"/>
        <w:adjustRightInd w:val="0"/>
        <w:snapToGrid w:val="0"/>
        <w:spacing w:after="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pict>
          <v:shape id="Picture 9" o:spid="_x0000_s1027" o:spt="75" type="#_x0000_t75" style="position:absolute;left:0pt;margin-left:156.7pt;margin-top:0.8pt;height:35.4pt;width:81.25pt;z-index:251663360;mso-width-relative:page;mso-height-relative:page;" o:ole="t" filled="f" o:preferrelative="t" stroked="f" coordsize="21600,21600">
            <v:path/>
            <v:fill on="f" focussize="0,0"/>
            <v:stroke on="f"/>
            <v:imagedata r:id="rId15" o:title=""/>
            <o:lock v:ext="edit" aspectratio="t"/>
          </v:shape>
          <o:OLEObject Type="Embed" ProgID="" ShapeID="Picture 9" DrawAspect="Content" ObjectID="_1468075725" r:id="rId14">
            <o:LockedField>false</o:LockedField>
          </o:OLEObject>
        </w:pict>
      </w:r>
    </w:p>
    <w:p w14:paraId="41A6040F">
      <w:pPr>
        <w:pStyle w:val="17"/>
        <w:adjustRightInd w:val="0"/>
        <w:snapToGrid w:val="0"/>
        <w:spacing w:after="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p>
    <w:p w14:paraId="7D55DF4C">
      <w:pPr>
        <w:pStyle w:val="17"/>
        <w:adjustRightInd w:val="0"/>
        <w:snapToGrid w:val="0"/>
        <w:spacing w:after="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Eav－道路平均照度。</w:t>
      </w:r>
    </w:p>
    <w:p w14:paraId="10872C9A">
      <w:pPr>
        <w:pStyle w:val="17"/>
        <w:adjustRightInd w:val="0"/>
        <w:snapToGrid w:val="0"/>
        <w:spacing w:after="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￠－光源的总光通量。</w:t>
      </w:r>
    </w:p>
    <w:p w14:paraId="56893A3B">
      <w:pPr>
        <w:pStyle w:val="17"/>
        <w:adjustRightInd w:val="0"/>
        <w:snapToGrid w:val="0"/>
        <w:spacing w:after="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K－维护系数＝0.7。</w:t>
      </w:r>
    </w:p>
    <w:p w14:paraId="7C4CCE1B">
      <w:pPr>
        <w:pStyle w:val="17"/>
        <w:adjustRightInd w:val="0"/>
        <w:snapToGrid w:val="0"/>
        <w:spacing w:after="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U－利用系数＝0.</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w:t>
      </w:r>
    </w:p>
    <w:p w14:paraId="79A5E4F7">
      <w:pPr>
        <w:pStyle w:val="17"/>
        <w:adjustRightInd w:val="0"/>
        <w:snapToGrid w:val="0"/>
        <w:spacing w:after="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N－布灯系数，在单侧排列及交错排列时N＝1；在对称排列时N＝2。</w:t>
      </w:r>
    </w:p>
    <w:p w14:paraId="0198F037">
      <w:pPr>
        <w:pStyle w:val="17"/>
        <w:adjustRightInd w:val="0"/>
        <w:snapToGrid w:val="0"/>
        <w:spacing w:after="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W－道路宽度。</w:t>
      </w:r>
    </w:p>
    <w:p w14:paraId="3FDAFD8F">
      <w:pPr>
        <w:pStyle w:val="17"/>
        <w:adjustRightInd w:val="0"/>
        <w:snapToGrid w:val="0"/>
        <w:spacing w:after="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S－路灯安装间距。</w:t>
      </w:r>
    </w:p>
    <w:p w14:paraId="029793C8">
      <w:pPr>
        <w:pStyle w:val="4"/>
        <w:spacing w:before="163" w:after="163"/>
        <w:ind w:firstLine="56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照明设施设置</w:t>
      </w:r>
    </w:p>
    <w:p w14:paraId="79BD167A">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 灯具：本工程功能性照明采用新型节能的LED灯作为照明光源。LED路灯性能应满足国家标准《道路照明用LED灯性能要求》GBT24907-2010。灯具的防护等级为IP65。防触电保护类别为Ⅰ。（具体灯具样式选型可由设计与建设单位沟通后确定）。</w:t>
      </w:r>
    </w:p>
    <w:p w14:paraId="278896C4">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光源：本工程LED灯光源（调光型）。LED光源要求：LED光效&gt;120lm/W，灯具利用系数为0.7，维护系数为0.7，灯具效率&gt;85%，3000小时光通量维持率大于96%，6000小时光通量维持率大92%，显色指数&gt;80，色温4000~4500K。每一灯具内自带直流电源驱动模块，灯具的功率因数应达0.95以上。电器绝缘等级为CLASS Ⅰ。照明灯具带定时降功率控制，运行5小时后功率降低一半运行。</w:t>
      </w:r>
    </w:p>
    <w:p w14:paraId="12143E71">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灯杆：路灯杆高分别为杆高12m，挑臂长2m/1.5m；杆高8m，挑臂长1m，仰角10～15度可调；交叉口：路灯杆高15m，仰角15度。路灯灯杆采用带良好防护涂层的钢杆，灯杆内外应采用热镀锌防腐处理后，表面再进行全白色喷塑处理。</w:t>
      </w:r>
    </w:p>
    <w:p w14:paraId="5FB2819C">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（4）路灯布置</w:t>
      </w:r>
    </w:p>
    <w:p w14:paraId="44D2B66E">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路灯底座中心设置于距离道路路缘石1.0m/0.5m处。永安东路新建路灯布置位于道路两侧绿化带中，间距30m。具体布置见平面布置图。</w:t>
      </w:r>
    </w:p>
    <w:p w14:paraId="0E54C35B">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路灯底座若遇到给水、污水、雨水、电力、电信及燃气等管道时，应作适当调整。</w:t>
      </w:r>
    </w:p>
    <w:p w14:paraId="66FC6D73">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（5）安装方式</w:t>
      </w:r>
    </w:p>
    <w:p w14:paraId="08D97C86">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路灯底座结构详路灯基础图。</w:t>
      </w:r>
    </w:p>
    <w:p w14:paraId="3C13FD8F">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（6）电缆及敷设  </w:t>
      </w:r>
    </w:p>
    <w:p w14:paraId="673FA3DD">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路灯照明电缆采用VV-0.6/1kV—5×16mm</w:t>
      </w:r>
      <w:r>
        <w:rPr>
          <w:rFonts w:hint="eastAsia" w:ascii="宋体" w:hAnsi="宋体" w:eastAsia="宋体" w:cs="宋体"/>
          <w:color w:val="000000" w:themeColor="text1"/>
          <w:sz w:val="24"/>
          <w:szCs w:val="24"/>
          <w:vertAlign w:val="superscript"/>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电力电缆穿</w:t>
      </w:r>
      <w:r>
        <w:rPr>
          <w:rFonts w:hint="eastAsia" w:ascii="宋体" w:hAnsi="宋体" w:eastAsia="宋体" w:cs="宋体"/>
          <w:color w:val="000000" w:themeColor="text1"/>
          <w:sz w:val="24"/>
          <w:szCs w:val="24"/>
          <w:lang w:val="en-US" w:eastAsia="zh-CN"/>
          <w14:textFill>
            <w14:solidFill>
              <w14:schemeClr w14:val="tx1"/>
            </w14:solidFill>
          </w14:textFill>
        </w:rPr>
        <w:t>2x</w:t>
      </w:r>
      <w:r>
        <w:rPr>
          <w:rFonts w:hint="eastAsia" w:ascii="宋体" w:hAnsi="宋体" w:eastAsia="宋体" w:cs="宋体"/>
          <w:color w:val="000000" w:themeColor="text1"/>
          <w:sz w:val="24"/>
          <w:szCs w:val="24"/>
          <w14:textFill>
            <w14:solidFill>
              <w14:schemeClr w14:val="tx1"/>
            </w14:solidFill>
          </w14:textFill>
        </w:rPr>
        <w:t>∅75PE管敷设。电缆在人行道及绿化带下覆土不少于0.7m，电缆在横穿机动车道的过街管道采用DN100钢管，埋深不少于1m；所有导线接头均应在灯杆配电门内连接，并预留足够的接线长度（接线长度离灯杆检修口下端不低于35cm，不同的灯杆款式根据实际情况作调整），路灯杆检修口下端离法兰高度50cm；严禁在电缆井、手孔井、拉线井和过路井内接线。</w:t>
      </w:r>
    </w:p>
    <w:p w14:paraId="47700DC2">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由配电门接线盒引至灯头的导线为RVV-3×2.5mm</w:t>
      </w:r>
      <w:r>
        <w:rPr>
          <w:rFonts w:hint="eastAsia" w:ascii="宋体" w:hAnsi="宋体" w:eastAsia="宋体" w:cs="宋体"/>
          <w:color w:val="000000" w:themeColor="text1"/>
          <w:sz w:val="24"/>
          <w:szCs w:val="24"/>
          <w:vertAlign w:val="superscript"/>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的铜导线；在每盏灯的接线盒内装30mA漏电开关。</w:t>
      </w:r>
    </w:p>
    <w:p w14:paraId="40E8517B">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路灯电缆在渠化岛敷设时，应沿路缘石侧敷设，以避开绿化树池中心。</w:t>
      </w:r>
    </w:p>
    <w:p w14:paraId="747057AB">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路灯电缆在保护管内不得有接头。</w:t>
      </w:r>
    </w:p>
    <w:p w14:paraId="1018CAAE">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灯电缆技术要求：本工程采用VV-0.6/1kV铜芯电缆，电缆性能应满足《额定电压1kV（Um=1.2kV）到35kV（Um=40.5kV）挤包绝缘电力电缆及附件》GB/T12706.1-2008的要求；电缆材质、电气、机械等技术参数应满足08D800-7《民用建筑电气设计与施工-室外布线》及《铝合金电缆敷设与安装》10CD106的要求；电缆对接及分接应采用专用接头端子，电缆接头和连接应满足GB/T9327-2008《额定电压35kV(Um=40.5kV)及以下电力电缆导体用压接式和机械式连接金具试验方法和要求》的要求。所有电缆接头均应设于灯杆配门内。</w:t>
      </w:r>
    </w:p>
    <w:p w14:paraId="22EA1C3B">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凡照明供电干线在变径或断开处必须用铜套筒压接，禁止绞接。</w:t>
      </w:r>
    </w:p>
    <w:p w14:paraId="0FFF0DC4">
      <w:pPr>
        <w:pStyle w:val="4"/>
        <w:spacing w:before="163" w:after="163"/>
        <w:ind w:firstLine="560"/>
        <w:rPr>
          <w:rFonts w:hint="eastAsia" w:ascii="宋体" w:hAnsi="宋体" w:eastAsia="宋体" w:cs="宋体"/>
          <w:color w:val="000000" w:themeColor="text1"/>
          <w:sz w:val="24"/>
          <w:szCs w:val="24"/>
          <w14:textFill>
            <w14:solidFill>
              <w14:schemeClr w14:val="tx1"/>
            </w14:solidFill>
          </w14:textFill>
        </w:rPr>
      </w:pPr>
      <w:bookmarkStart w:id="15" w:name="_Toc71902206"/>
      <w:bookmarkStart w:id="16" w:name="_Toc76745002"/>
      <w:r>
        <w:rPr>
          <w:rFonts w:hint="eastAsia" w:ascii="宋体" w:hAnsi="宋体" w:eastAsia="宋体" w:cs="宋体"/>
          <w:color w:val="000000" w:themeColor="text1"/>
          <w:sz w:val="24"/>
          <w:szCs w:val="24"/>
          <w14:textFill>
            <w14:solidFill>
              <w14:schemeClr w14:val="tx1"/>
            </w14:solidFill>
          </w14:textFill>
        </w:rPr>
        <w:t>照明系统控制</w:t>
      </w:r>
      <w:bookmarkEnd w:id="15"/>
      <w:bookmarkEnd w:id="16"/>
    </w:p>
    <w:p w14:paraId="1F879D6C">
      <w:pPr>
        <w:ind w:left="480" w:firstLine="0" w:firstLineChars="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（1）供电电源：</w:t>
      </w:r>
      <w:r>
        <w:rPr>
          <w:rFonts w:hint="eastAsia" w:ascii="宋体" w:hAnsi="宋体" w:eastAsia="宋体" w:cs="宋体"/>
          <w:color w:val="000000" w:themeColor="text1"/>
          <w:sz w:val="24"/>
          <w:szCs w:val="24"/>
          <w:lang w:val="en-US" w:eastAsia="zh-CN"/>
          <w14:textFill>
            <w14:solidFill>
              <w14:schemeClr w14:val="tx1"/>
            </w14:solidFill>
          </w14:textFill>
        </w:rPr>
        <w:t>驳接自现状照明回路</w:t>
      </w:r>
      <w:r>
        <w:rPr>
          <w:rFonts w:hint="eastAsia" w:ascii="宋体" w:hAnsi="宋体" w:eastAsia="宋体" w:cs="宋体"/>
          <w:color w:val="000000" w:themeColor="text1"/>
          <w:sz w:val="24"/>
          <w:szCs w:val="24"/>
          <w14:textFill>
            <w14:solidFill>
              <w14:schemeClr w14:val="tx1"/>
            </w14:solidFill>
          </w14:textFill>
        </w:rPr>
        <w:t>。</w:t>
      </w:r>
    </w:p>
    <w:p w14:paraId="61533C9D">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配电控制箱设有手动、自动和遥控三种控制方式。自动控制采用经纬时钟控制器控制。路灯配电箱设计供电半径为不大于0.8km，路灯节能措施：选择后半夜自动降功率运行的灯具，灯具点亮5小时后自动降低LED模块驱动电流，使LED灯具降功率运行。</w:t>
      </w:r>
    </w:p>
    <w:p w14:paraId="72E1D335">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（3）正常运行情况下，照明灯具端电压应维持在额定电压的90%~105%。</w:t>
      </w:r>
    </w:p>
    <w:p w14:paraId="722CF1C0">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（4）道路照明开灯和关灯时的天然光照度水平，快速路和主干路宜为30lx，次干路和支路宜为20lx。</w:t>
      </w:r>
    </w:p>
    <w:p w14:paraId="3BE39A15">
      <w:pPr>
        <w:pStyle w:val="4"/>
        <w:spacing w:before="163" w:after="163"/>
        <w:ind w:firstLine="560"/>
        <w:rPr>
          <w:rFonts w:hint="eastAsia" w:ascii="宋体" w:hAnsi="宋体" w:eastAsia="宋体" w:cs="宋体"/>
          <w:color w:val="000000" w:themeColor="text1"/>
          <w:sz w:val="24"/>
          <w:szCs w:val="24"/>
          <w14:textFill>
            <w14:solidFill>
              <w14:schemeClr w14:val="tx1"/>
            </w14:solidFill>
          </w14:textFill>
        </w:rPr>
      </w:pPr>
      <w:bookmarkStart w:id="17" w:name="_Toc76745003"/>
      <w:bookmarkStart w:id="18" w:name="_Toc71902207"/>
      <w:r>
        <w:rPr>
          <w:rFonts w:hint="eastAsia" w:ascii="宋体" w:hAnsi="宋体" w:eastAsia="宋体" w:cs="宋体"/>
          <w:color w:val="000000" w:themeColor="text1"/>
          <w:sz w:val="24"/>
          <w:szCs w:val="24"/>
          <w14:textFill>
            <w14:solidFill>
              <w14:schemeClr w14:val="tx1"/>
            </w14:solidFill>
          </w14:textFill>
        </w:rPr>
        <w:t>接地系统及安全措施</w:t>
      </w:r>
      <w:bookmarkEnd w:id="17"/>
      <w:bookmarkEnd w:id="18"/>
    </w:p>
    <w:p w14:paraId="0863BC8F">
      <w:pPr>
        <w:ind w:firstLine="420" w:firstLineChars="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本工程采用TN-S接地系统，所有电缆金属外皮及金属构配件要求与接地系统可靠连接。TN-S接地系统的路灯配电，需在每个灯基础坑内打一重复接地极，并与接地线可靠连接。单灯接地电阻值不大于10欧姆，接地网电阻于不大4欧姆。</w:t>
      </w:r>
    </w:p>
    <w:p w14:paraId="35041DC2">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（2）电源进线要求做防雷电波入侵接地。电源进线要求做重复接地。</w:t>
      </w:r>
    </w:p>
    <w:p w14:paraId="3C94103E">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（3）利用五芯电缆中的一芯作为独立的保护零线（PE线）与所有的灯杆可靠焊接。</w:t>
      </w:r>
    </w:p>
    <w:p w14:paraId="4F16A4E7">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（4）每根路灯在基座处采用熔断器作为单独的短路保护装置。</w:t>
      </w:r>
    </w:p>
    <w:p w14:paraId="1E6F446F">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（5）本工程所有外露金属构配件及管件及电缆金属外皮均要求作总等电位联结。</w:t>
      </w:r>
    </w:p>
    <w:p w14:paraId="0B72D7F8">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（6）路灯供电照明线路的手孔井盖及照明灯杆的检修门，均应设置需使用专用工具开启的闭锁防盗装置。</w:t>
      </w:r>
    </w:p>
    <w:p w14:paraId="377A24F6">
      <w:pPr>
        <w:pStyle w:val="4"/>
        <w:spacing w:before="163" w:after="163"/>
        <w:ind w:firstLine="560"/>
        <w:rPr>
          <w:rFonts w:hint="eastAsia" w:ascii="宋体" w:hAnsi="宋体" w:eastAsia="宋体" w:cs="宋体"/>
          <w:color w:val="000000" w:themeColor="text1"/>
          <w:sz w:val="24"/>
          <w:szCs w:val="24"/>
          <w14:textFill>
            <w14:solidFill>
              <w14:schemeClr w14:val="tx1"/>
            </w14:solidFill>
          </w14:textFill>
        </w:rPr>
      </w:pPr>
      <w:bookmarkStart w:id="19" w:name="_Toc76745004"/>
      <w:bookmarkStart w:id="20" w:name="_Toc71902208"/>
      <w:r>
        <w:rPr>
          <w:rFonts w:hint="eastAsia" w:ascii="宋体" w:hAnsi="宋体" w:eastAsia="宋体" w:cs="宋体"/>
          <w:color w:val="000000" w:themeColor="text1"/>
          <w:sz w:val="24"/>
          <w:szCs w:val="24"/>
          <w14:textFill>
            <w14:solidFill>
              <w14:schemeClr w14:val="tx1"/>
            </w14:solidFill>
          </w14:textFill>
        </w:rPr>
        <w:t>节能措施</w:t>
      </w:r>
      <w:bookmarkEnd w:id="19"/>
      <w:bookmarkEnd w:id="20"/>
    </w:p>
    <w:p w14:paraId="49A62E94">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（1）要求灯具采用高透光率的灯罩和高反射率的反射器，灯具效率不低于85%；</w:t>
      </w:r>
    </w:p>
    <w:p w14:paraId="62D01540">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（2）提高维护系数：在灯具使用中，路灯管理部门应按照规定要求对路灯进行定期擦拭，擦拭次数不小于2次/a，以确保照明维护系数不低于0.7，提高光源光通量的利用率。</w:t>
      </w:r>
    </w:p>
    <w:p w14:paraId="4DD2AFAF">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（3）所有的电气设备必需采用高效、节能的产品，应采用可靠度高和一致性好的控制设备。</w:t>
      </w:r>
    </w:p>
    <w:p w14:paraId="67392DEC">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（4）应选择后半夜自动降功率运行的灯具，灯具点亮5小时后自动降低LED模块驱动电流，使LED灯具降功率运行，但经过调节后的快速路、主干路、次干路的平均照度不得低于10lx，支路的平均照度不得低于8lx。</w:t>
      </w:r>
    </w:p>
    <w:p w14:paraId="0BCBEBB2">
      <w:pPr>
        <w:pStyle w:val="4"/>
        <w:spacing w:before="163" w:after="163"/>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电缆防盗措施</w:t>
      </w:r>
    </w:p>
    <w:p w14:paraId="4EF278D4">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所有路灯灯杆内均增设防盗装置，即路灯灯杆拉线孔门采用专用防盗锁，并将拉线孔门四周与灯杆焊实；线路安装完毕后，所有手孔井内应添沙，井座与井盖间用混凝土封实；手孔井盖及照明配电箱应设置需使用专用工具开启的闭锁防盗装置。</w:t>
      </w:r>
    </w:p>
    <w:p w14:paraId="73FCCD77">
      <w:pPr>
        <w:pStyle w:val="4"/>
        <w:spacing w:before="163" w:after="163"/>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施工注意事项</w:t>
      </w:r>
    </w:p>
    <w:p w14:paraId="31F2683E">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路灯安装完成后，需将路灯检修口盖板焊好封死(每个焊口长度不少于2厘米)，以防线路或其它电器元件被盗。</w:t>
      </w:r>
    </w:p>
    <w:p w14:paraId="6A9341A9">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建议在路灯、电力管沟与排水管等并行的路段，协调基坑开挖顺序，尽量统一开挖，避免重复开挖。</w:t>
      </w:r>
    </w:p>
    <w:p w14:paraId="4AD95242">
      <w:pPr>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本套出版图纸说明：本设计图中标注型号的设备或材料（包括线缆），仅作为设计控制产品选型的依据，非强制使用，可以采用相同技术数据（包括技术性能指标， 安装外型尺寸等）的设备及产品代替。 所选设备仅供参数选择，不作为品牌推荐。 所有设备确定后均需建设、施工、设计、监理四方进行技术交底。</w:t>
      </w:r>
    </w:p>
    <w:p w14:paraId="29EBF415">
      <w:pPr>
        <w:pStyle w:val="4"/>
        <w:spacing w:before="163" w:after="163"/>
        <w:ind w:firstLine="480" w:firstLineChars="200"/>
        <w:rPr>
          <w:rFonts w:hint="eastAsia" w:ascii="宋体" w:hAnsi="宋体" w:eastAsia="宋体" w:cs="宋体"/>
          <w:color w:val="FF0000"/>
          <w:sz w:val="24"/>
          <w:szCs w:val="24"/>
        </w:rPr>
      </w:pPr>
      <w:r>
        <w:rPr>
          <w:rFonts w:hint="eastAsia" w:ascii="宋体" w:hAnsi="宋体" w:eastAsia="宋体" w:cs="宋体"/>
          <w:color w:val="FF0000"/>
          <w:sz w:val="24"/>
          <w:szCs w:val="24"/>
          <w:lang w:val="en-US" w:eastAsia="zh-CN"/>
        </w:rPr>
        <w:t>抗震</w:t>
      </w:r>
    </w:p>
    <w:p w14:paraId="23F935D8">
      <w:pPr>
        <w:keepLines w:val="0"/>
        <w:pageBreakBefore w:val="0"/>
        <w:kinsoku/>
        <w:wordWrap/>
        <w:overflowPunct/>
        <w:topLinePunct w:val="0"/>
        <w:bidi w:val="0"/>
        <w:spacing w:beforeAutospacing="0" w:line="336" w:lineRule="auto"/>
        <w:ind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1、抗震设防烈度为6度及6度以上地区的建筑机电工程必须按照《建筑机电工程抗震设计规范》GB50981-2014进行抗震设计。</w:t>
      </w:r>
    </w:p>
    <w:p w14:paraId="4BDE56CC">
      <w:pPr>
        <w:keepLines w:val="0"/>
        <w:pageBreakBefore w:val="0"/>
        <w:kinsoku/>
        <w:wordWrap/>
        <w:overflowPunct/>
        <w:topLinePunct w:val="0"/>
        <w:bidi w:val="0"/>
        <w:spacing w:beforeAutospacing="0" w:line="336" w:lineRule="auto"/>
        <w:ind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2、广州市花都区抗震设防烈度为 6度，地震分组为 第一组 ；设计基本地震加速度值为 0.05g。</w:t>
      </w:r>
    </w:p>
    <w:p w14:paraId="3CCBF298">
      <w:pPr>
        <w:keepLines w:val="0"/>
        <w:pageBreakBefore w:val="0"/>
        <w:kinsoku/>
        <w:wordWrap/>
        <w:overflowPunct/>
        <w:topLinePunct w:val="0"/>
        <w:bidi w:val="0"/>
        <w:spacing w:beforeAutospacing="0" w:line="336" w:lineRule="auto"/>
        <w:ind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1</w:t>
      </w: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变压器安装就位后应焊接牢固，内部线圈应牢固固定在变压器外壳内的支承结构上，支承面宜适当加宽，并设置防止其移动和倾倒的限位器,对接入和接出的柔性导体留有位移的空间。</w:t>
      </w:r>
    </w:p>
    <w:p w14:paraId="13D3D755">
      <w:pPr>
        <w:keepLines w:val="0"/>
        <w:pageBreakBefore w:val="0"/>
        <w:kinsoku/>
        <w:wordWrap/>
        <w:overflowPunct/>
        <w:topLinePunct w:val="0"/>
        <w:bidi w:val="0"/>
        <w:spacing w:beforeAutospacing="0" w:line="336" w:lineRule="auto"/>
        <w:ind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2</w:t>
      </w: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配电箱(柜)、通信设备的安装螺栓或焊接强度应满足抗震要求，靠墙安装的配电柜、通信设备机柜底部安装应牢固。当底部安装螺栓或焊接强度不够时，应将顶部与墙壁进行连接，当非靠墙落地安装时，根部应采用金属膨胀螺栓或焊接的固定方式。当8度或9度时，可将几个柜的重心位置以上连成整体；壁式安装的配电箱与墙壁之间应采用金属膨胀螺栓连接。柜内元器件应考虑与支承结构间的相互作用，元器件之间采用软连接，接线处应做防震处理。配电箱(柜)面上的仪表应与柜体组装牢固。</w:t>
      </w:r>
    </w:p>
    <w:p w14:paraId="647CD668">
      <w:pPr>
        <w:keepLines w:val="0"/>
        <w:pageBreakBefore w:val="0"/>
        <w:kinsoku/>
        <w:wordWrap/>
        <w:overflowPunct/>
        <w:topLinePunct w:val="0"/>
        <w:bidi w:val="0"/>
        <w:spacing w:beforeAutospacing="0" w:line="336" w:lineRule="auto"/>
        <w:ind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3</w:t>
      </w: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配电导体采用硬母线敷设且直线段长度大于80m时，应每50m设置伸缩节，在电缆桥架、电缆槽盒内敷设的缆线在引进、引出和转弯处，应在长度上留有余量。接地线应采取防止地震时被切断的措施。</w:t>
      </w:r>
    </w:p>
    <w:p w14:paraId="7BE3D51F">
      <w:pPr>
        <w:keepLines w:val="0"/>
        <w:pageBreakBefore w:val="0"/>
        <w:kinsoku/>
        <w:wordWrap/>
        <w:overflowPunct/>
        <w:topLinePunct w:val="0"/>
        <w:bidi w:val="0"/>
        <w:spacing w:beforeAutospacing="0" w:line="336" w:lineRule="auto"/>
        <w:ind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4</w:t>
      </w: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缆线穿管敷设时宜采用弹性和延性较好的管材、引入建筑物的电气管路敷设时，在进口处应采用挠性线管或采取其他抗震措施，进户井贴邻建筑物设置时，缆线应在井中留有余量；进户套管与引入管之间的间隙应采用柔性防腐、防水材料密封。</w:t>
      </w:r>
    </w:p>
    <w:p w14:paraId="76E15B2C">
      <w:pPr>
        <w:keepLines w:val="0"/>
        <w:pageBreakBefore w:val="0"/>
        <w:kinsoku/>
        <w:wordWrap/>
        <w:overflowPunct/>
        <w:topLinePunct w:val="0"/>
        <w:bidi w:val="0"/>
        <w:spacing w:beforeAutospacing="0" w:line="336" w:lineRule="auto"/>
        <w:ind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5</w:t>
      </w: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电气管路不易穿越抗震缝，当必须穿越时应符合下列规定：1 采用金属导管、刚性塑料导管敷设时宜靠近建筑物下部穿越，且在抗震缝两侧应各设置一个柔性管接头；2 电缆梯架、电缆槽盒、母线槽在抗震缝两侧应设置伸缩节；3 抗震缝的两端应设置抗震支撑节点并与结构可靠连接。</w:t>
      </w:r>
    </w:p>
    <w:p w14:paraId="386DC9AC">
      <w:pPr>
        <w:keepLines w:val="0"/>
        <w:pageBreakBefore w:val="0"/>
        <w:kinsoku/>
        <w:wordWrap/>
        <w:overflowPunct/>
        <w:topLinePunct w:val="0"/>
        <w:bidi w:val="0"/>
        <w:spacing w:beforeAutospacing="0" w:line="336" w:lineRule="auto"/>
        <w:ind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6</w:t>
      </w: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电气管路敷设时应符合下列规定：1 当线路采用金属导管、刚性塑料导管、电缆梯架或电缆槽盒敷设时，应使用刚性托架或支架固定，不宜使用吊架。当必须使用吊架时，应安装横向防晃支架；2 当金属导管、刚性塑料导管、电缆梯架或电缆槽盒穿越防火分区时，其缝隙应采用柔性防火封堵材料封堵，并应在贯穿部位附近设置抗震支撑； 3 金属导管、刚性塑料导管的直线段部分每隔30m应设置伸缩节。</w:t>
      </w:r>
    </w:p>
    <w:p w14:paraId="1575765F">
      <w:pPr>
        <w:keepLines w:val="0"/>
        <w:pageBreakBefore w:val="0"/>
        <w:kinsoku/>
        <w:wordWrap/>
        <w:overflowPunct/>
        <w:topLinePunct w:val="0"/>
        <w:bidi w:val="0"/>
        <w:spacing w:beforeAutospacing="0" w:line="336" w:lineRule="auto"/>
        <w:ind w:firstLine="480" w:firstLineChars="200"/>
        <w:textAlignment w:val="auto"/>
        <w:rPr>
          <w:rFonts w:hint="eastAsia" w:ascii="宋体" w:hAnsi="宋体" w:eastAsia="宋体" w:cs="宋体"/>
          <w:color w:val="FF0000"/>
          <w:sz w:val="24"/>
          <w:szCs w:val="24"/>
          <w:lang w:eastAsia="zh-CN"/>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7</w:t>
      </w: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配电装置至用电设备间连线应符合下列规定：1宜采用软导体；2当采用穿金属导管、刚性塑料导管敷设时，进口处应转为挠性线管过渡；3当采用电缆梯架或电缆槽盒敷设时，进口处应转为挠性线管过渡。</w:t>
      </w:r>
    </w:p>
    <w:p w14:paraId="6BD0D535">
      <w:pPr>
        <w:ind w:firstLine="480"/>
        <w:rPr>
          <w:rFonts w:hint="eastAsia"/>
          <w:color w:val="000000" w:themeColor="text1"/>
          <w14:textFill>
            <w14:solidFill>
              <w14:schemeClr w14:val="tx1"/>
            </w14:solidFill>
          </w14:textFill>
        </w:rPr>
      </w:pPr>
    </w:p>
    <w:sectPr>
      <w:footerReference r:id="rId11" w:type="default"/>
      <w:pgSz w:w="23811" w:h="16838" w:orient="landscape"/>
      <w:pgMar w:top="1418" w:right="1440" w:bottom="1134" w:left="1440" w:header="680" w:footer="737" w:gutter="0"/>
      <w:pgNumType w:fmt="decimal" w:start="1"/>
      <w:cols w:space="1201" w:num="2"/>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BFC0D">
    <w:pPr>
      <w:pStyle w:val="12"/>
      <w:pBdr>
        <w:top w:val="none" w:color="auto" w:sz="0" w:space="1"/>
        <w:left w:val="none" w:color="auto" w:sz="0" w:space="0"/>
        <w:bottom w:val="none" w:color="auto" w:sz="0" w:space="0"/>
        <w:right w:val="none" w:color="auto" w:sz="0" w:space="0"/>
        <w:between w:val="none" w:color="auto" w:sz="0" w:space="0"/>
      </w:pBdr>
      <w:ind w:firstLine="360"/>
      <w:jc w:val="both"/>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3386B">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B9C57">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14755">
    <w:pPr>
      <w:pStyle w:val="12"/>
      <w:pBdr>
        <w:top w:val="thinThickSmallGap" w:color="auto" w:sz="24" w:space="1"/>
      </w:pBdr>
      <w:ind w:firstLine="360"/>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B75C">
                          <w:pPr>
                            <w:pStyle w:val="12"/>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5</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847B75C">
                    <w:pPr>
                      <w:pStyle w:val="12"/>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5</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E108F">
    <w:pPr>
      <w:pStyle w:val="13"/>
      <w:pBdr>
        <w:bottom w:val="thinThickSmallGap" w:color="auto" w:sz="24" w:space="1"/>
      </w:pBdr>
      <w:ind w:firstLine="0" w:firstLineChars="0"/>
      <w:jc w:val="left"/>
      <w:rPr>
        <w:sz w:val="21"/>
        <w:szCs w:val="21"/>
      </w:rPr>
    </w:pPr>
    <w:r>
      <w:rPr>
        <w:rFonts w:hint="eastAsia" w:ascii="宋体" w:hAnsi="宋体"/>
        <w:bCs/>
        <w:sz w:val="21"/>
        <w:szCs w:val="21"/>
        <w:lang w:eastAsia="zh-CN"/>
      </w:rPr>
      <w:t>广州空港经济区拆迁安置区（花东安置区）教育配套设施建设项目</w:t>
    </w:r>
    <w:r>
      <w:rPr>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9D3C2">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FDF9C">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507684"/>
    <w:multiLevelType w:val="multilevel"/>
    <w:tmpl w:val="35507684"/>
    <w:lvl w:ilvl="0" w:tentative="0">
      <w:start w:val="1"/>
      <w:numFmt w:val="decimal"/>
      <w:pStyle w:val="33"/>
      <w:suff w:val="nothing"/>
      <w:lvlText w:val="（%1）"/>
      <w:lvlJc w:val="left"/>
      <w:pPr>
        <w:ind w:left="0" w:firstLine="0"/>
      </w:pPr>
      <w:rPr>
        <w:rFonts w:hint="default" w:ascii="Times New Roman" w:hAnsi="Times New Roman"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30220D0"/>
    <w:multiLevelType w:val="multilevel"/>
    <w:tmpl w:val="630220D0"/>
    <w:lvl w:ilvl="0" w:tentative="0">
      <w:start w:val="1"/>
      <w:numFmt w:val="chineseCountingThousand"/>
      <w:pStyle w:val="2"/>
      <w:suff w:val="space"/>
      <w:lvlText w:val="第%1章"/>
      <w:lvlJc w:val="left"/>
      <w:pPr>
        <w:ind w:left="0" w:firstLine="0"/>
      </w:pPr>
      <w:rPr>
        <w:rFonts w:hint="eastAsia"/>
      </w:rPr>
    </w:lvl>
    <w:lvl w:ilvl="1" w:tentative="0">
      <w:start w:val="1"/>
      <w:numFmt w:val="decimal"/>
      <w:pStyle w:val="3"/>
      <w:isLgl/>
      <w:suff w:val="space"/>
      <w:lvlText w:val="%1.%2"/>
      <w:lvlJc w:val="left"/>
      <w:pPr>
        <w:ind w:left="0" w:firstLine="0"/>
      </w:pPr>
      <w:rPr>
        <w:rFonts w:hint="eastAsia"/>
      </w:rPr>
    </w:lvl>
    <w:lvl w:ilvl="2" w:tentative="0">
      <w:start w:val="1"/>
      <w:numFmt w:val="decimal"/>
      <w:pStyle w:val="4"/>
      <w:isLgl/>
      <w:suff w:val="space"/>
      <w:lvlText w:val="%1.%2.%3"/>
      <w:lvlJc w:val="left"/>
      <w:pPr>
        <w:ind w:left="0" w:firstLine="0"/>
      </w:pPr>
      <w:rPr>
        <w:rFonts w:hint="eastAsia"/>
      </w:rPr>
    </w:lvl>
    <w:lvl w:ilvl="3" w:tentative="0">
      <w:start w:val="1"/>
      <w:numFmt w:val="decimal"/>
      <w:pStyle w:val="5"/>
      <w:isLgl/>
      <w:suff w:val="space"/>
      <w:lvlText w:val="%1.%2.%3.%4"/>
      <w:lvlJc w:val="left"/>
      <w:pPr>
        <w:ind w:left="0" w:firstLine="0"/>
      </w:pPr>
      <w:rPr>
        <w:rFonts w:hint="eastAsia"/>
      </w:rPr>
    </w:lvl>
    <w:lvl w:ilvl="4" w:tentative="0">
      <w:start w:val="1"/>
      <w:numFmt w:val="decimal"/>
      <w:isLg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VhYTRhMTg0MmZjZjFhNTBhNmU3YzkzNzAwYzcyOWIifQ=="/>
  </w:docVars>
  <w:rsids>
    <w:rsidRoot w:val="00751B04"/>
    <w:rsid w:val="00001D8D"/>
    <w:rsid w:val="00001DCB"/>
    <w:rsid w:val="00011B8F"/>
    <w:rsid w:val="00011E8C"/>
    <w:rsid w:val="00013E0D"/>
    <w:rsid w:val="00016470"/>
    <w:rsid w:val="00016A27"/>
    <w:rsid w:val="00025060"/>
    <w:rsid w:val="00030AF1"/>
    <w:rsid w:val="00030FE8"/>
    <w:rsid w:val="0003242B"/>
    <w:rsid w:val="000352B9"/>
    <w:rsid w:val="00045614"/>
    <w:rsid w:val="0005256B"/>
    <w:rsid w:val="000574C3"/>
    <w:rsid w:val="000606DA"/>
    <w:rsid w:val="00061E0C"/>
    <w:rsid w:val="00063318"/>
    <w:rsid w:val="000637F3"/>
    <w:rsid w:val="00071045"/>
    <w:rsid w:val="0008196A"/>
    <w:rsid w:val="00090E10"/>
    <w:rsid w:val="00097634"/>
    <w:rsid w:val="000A7BB0"/>
    <w:rsid w:val="000B02D2"/>
    <w:rsid w:val="000B2AEA"/>
    <w:rsid w:val="000B4A80"/>
    <w:rsid w:val="000B75D0"/>
    <w:rsid w:val="000C108A"/>
    <w:rsid w:val="000C55FF"/>
    <w:rsid w:val="000C7BD4"/>
    <w:rsid w:val="000D1026"/>
    <w:rsid w:val="000D276E"/>
    <w:rsid w:val="000E2BD1"/>
    <w:rsid w:val="000E5621"/>
    <w:rsid w:val="000F133B"/>
    <w:rsid w:val="000F35DC"/>
    <w:rsid w:val="000F3812"/>
    <w:rsid w:val="000F5477"/>
    <w:rsid w:val="001058CD"/>
    <w:rsid w:val="0010791F"/>
    <w:rsid w:val="001172B1"/>
    <w:rsid w:val="0012463E"/>
    <w:rsid w:val="00126770"/>
    <w:rsid w:val="0012786A"/>
    <w:rsid w:val="00132C0B"/>
    <w:rsid w:val="00134F22"/>
    <w:rsid w:val="0013748E"/>
    <w:rsid w:val="001512A0"/>
    <w:rsid w:val="00152A61"/>
    <w:rsid w:val="0015515F"/>
    <w:rsid w:val="00157848"/>
    <w:rsid w:val="00183B3D"/>
    <w:rsid w:val="00191805"/>
    <w:rsid w:val="001948D1"/>
    <w:rsid w:val="001966D8"/>
    <w:rsid w:val="001A1C7D"/>
    <w:rsid w:val="001B1A28"/>
    <w:rsid w:val="001C1428"/>
    <w:rsid w:val="001C4DFE"/>
    <w:rsid w:val="001D10BC"/>
    <w:rsid w:val="001D37FD"/>
    <w:rsid w:val="001E622A"/>
    <w:rsid w:val="002012C9"/>
    <w:rsid w:val="002035B0"/>
    <w:rsid w:val="00210E82"/>
    <w:rsid w:val="0023582A"/>
    <w:rsid w:val="00235BCE"/>
    <w:rsid w:val="00237DF8"/>
    <w:rsid w:val="00242245"/>
    <w:rsid w:val="00243FA3"/>
    <w:rsid w:val="00260496"/>
    <w:rsid w:val="00262EDD"/>
    <w:rsid w:val="00263B16"/>
    <w:rsid w:val="00273D72"/>
    <w:rsid w:val="00282338"/>
    <w:rsid w:val="0028676B"/>
    <w:rsid w:val="00291BDC"/>
    <w:rsid w:val="002B3C1B"/>
    <w:rsid w:val="002D2A19"/>
    <w:rsid w:val="002D2CA4"/>
    <w:rsid w:val="002D2DD8"/>
    <w:rsid w:val="002D4548"/>
    <w:rsid w:val="002E035B"/>
    <w:rsid w:val="00303F47"/>
    <w:rsid w:val="00306289"/>
    <w:rsid w:val="003135E6"/>
    <w:rsid w:val="003137B7"/>
    <w:rsid w:val="003165B8"/>
    <w:rsid w:val="00331A72"/>
    <w:rsid w:val="003468CC"/>
    <w:rsid w:val="00352E1B"/>
    <w:rsid w:val="00353416"/>
    <w:rsid w:val="00370459"/>
    <w:rsid w:val="00382E22"/>
    <w:rsid w:val="00385153"/>
    <w:rsid w:val="00385A15"/>
    <w:rsid w:val="003A0F06"/>
    <w:rsid w:val="003A5AD2"/>
    <w:rsid w:val="003B5221"/>
    <w:rsid w:val="003B5CC0"/>
    <w:rsid w:val="003C0721"/>
    <w:rsid w:val="003C1762"/>
    <w:rsid w:val="003C592C"/>
    <w:rsid w:val="003C6C90"/>
    <w:rsid w:val="003D20CE"/>
    <w:rsid w:val="003D7243"/>
    <w:rsid w:val="003F62EB"/>
    <w:rsid w:val="00417DE6"/>
    <w:rsid w:val="00424A49"/>
    <w:rsid w:val="00426476"/>
    <w:rsid w:val="004264D6"/>
    <w:rsid w:val="00435F95"/>
    <w:rsid w:val="00446D34"/>
    <w:rsid w:val="00451953"/>
    <w:rsid w:val="004616E0"/>
    <w:rsid w:val="00465CF0"/>
    <w:rsid w:val="0047791B"/>
    <w:rsid w:val="00481091"/>
    <w:rsid w:val="004931B7"/>
    <w:rsid w:val="00494062"/>
    <w:rsid w:val="004949F2"/>
    <w:rsid w:val="00495ABF"/>
    <w:rsid w:val="00497A8E"/>
    <w:rsid w:val="004B2535"/>
    <w:rsid w:val="004C40AE"/>
    <w:rsid w:val="004C724A"/>
    <w:rsid w:val="004D5B64"/>
    <w:rsid w:val="004E19F4"/>
    <w:rsid w:val="004E2F0B"/>
    <w:rsid w:val="004E5AF6"/>
    <w:rsid w:val="0050291D"/>
    <w:rsid w:val="00506E8E"/>
    <w:rsid w:val="00512194"/>
    <w:rsid w:val="00514CC7"/>
    <w:rsid w:val="00524070"/>
    <w:rsid w:val="00532B1A"/>
    <w:rsid w:val="00540317"/>
    <w:rsid w:val="00546508"/>
    <w:rsid w:val="0054662D"/>
    <w:rsid w:val="00553B90"/>
    <w:rsid w:val="005632F6"/>
    <w:rsid w:val="005664D1"/>
    <w:rsid w:val="005716EB"/>
    <w:rsid w:val="00574B1B"/>
    <w:rsid w:val="00582E31"/>
    <w:rsid w:val="00583FDB"/>
    <w:rsid w:val="00591EE7"/>
    <w:rsid w:val="005942D2"/>
    <w:rsid w:val="005A146F"/>
    <w:rsid w:val="005A2E1A"/>
    <w:rsid w:val="005A6757"/>
    <w:rsid w:val="005A6CFC"/>
    <w:rsid w:val="005E5D95"/>
    <w:rsid w:val="005E7168"/>
    <w:rsid w:val="00601264"/>
    <w:rsid w:val="006049F1"/>
    <w:rsid w:val="00611C4F"/>
    <w:rsid w:val="0063093F"/>
    <w:rsid w:val="00634EDD"/>
    <w:rsid w:val="00643FAA"/>
    <w:rsid w:val="00654198"/>
    <w:rsid w:val="00674B9C"/>
    <w:rsid w:val="00685FEA"/>
    <w:rsid w:val="006951BB"/>
    <w:rsid w:val="006A2505"/>
    <w:rsid w:val="006A3A55"/>
    <w:rsid w:val="006B0453"/>
    <w:rsid w:val="006B5653"/>
    <w:rsid w:val="006B7F51"/>
    <w:rsid w:val="006D0D45"/>
    <w:rsid w:val="006D307B"/>
    <w:rsid w:val="006E4429"/>
    <w:rsid w:val="006F6485"/>
    <w:rsid w:val="0070050A"/>
    <w:rsid w:val="00701364"/>
    <w:rsid w:val="0071052B"/>
    <w:rsid w:val="0072189B"/>
    <w:rsid w:val="00726779"/>
    <w:rsid w:val="007269BC"/>
    <w:rsid w:val="007277A5"/>
    <w:rsid w:val="0073135C"/>
    <w:rsid w:val="007365A7"/>
    <w:rsid w:val="00742EB6"/>
    <w:rsid w:val="007431E0"/>
    <w:rsid w:val="007456D3"/>
    <w:rsid w:val="007476F3"/>
    <w:rsid w:val="00751B04"/>
    <w:rsid w:val="007573B1"/>
    <w:rsid w:val="00761DB2"/>
    <w:rsid w:val="00762ADB"/>
    <w:rsid w:val="00762D81"/>
    <w:rsid w:val="00765C32"/>
    <w:rsid w:val="00770B2D"/>
    <w:rsid w:val="007817C1"/>
    <w:rsid w:val="00782573"/>
    <w:rsid w:val="00787A10"/>
    <w:rsid w:val="00791F80"/>
    <w:rsid w:val="00793A25"/>
    <w:rsid w:val="007A6ACB"/>
    <w:rsid w:val="007C6B98"/>
    <w:rsid w:val="007E299A"/>
    <w:rsid w:val="007F5F29"/>
    <w:rsid w:val="0080024A"/>
    <w:rsid w:val="00806546"/>
    <w:rsid w:val="00811085"/>
    <w:rsid w:val="00813331"/>
    <w:rsid w:val="00817D94"/>
    <w:rsid w:val="00832CC9"/>
    <w:rsid w:val="008350CF"/>
    <w:rsid w:val="00842224"/>
    <w:rsid w:val="0086357D"/>
    <w:rsid w:val="008739F2"/>
    <w:rsid w:val="00881592"/>
    <w:rsid w:val="008858BF"/>
    <w:rsid w:val="00891D80"/>
    <w:rsid w:val="008960C9"/>
    <w:rsid w:val="008A7B59"/>
    <w:rsid w:val="008B2E71"/>
    <w:rsid w:val="008D5906"/>
    <w:rsid w:val="008D7D3E"/>
    <w:rsid w:val="008E10DE"/>
    <w:rsid w:val="008E4166"/>
    <w:rsid w:val="008F32E5"/>
    <w:rsid w:val="00905191"/>
    <w:rsid w:val="00913E2C"/>
    <w:rsid w:val="009403B5"/>
    <w:rsid w:val="0094161B"/>
    <w:rsid w:val="0095072A"/>
    <w:rsid w:val="00950D44"/>
    <w:rsid w:val="00956811"/>
    <w:rsid w:val="00962284"/>
    <w:rsid w:val="00965C3E"/>
    <w:rsid w:val="00966857"/>
    <w:rsid w:val="00973060"/>
    <w:rsid w:val="0097750A"/>
    <w:rsid w:val="0098113A"/>
    <w:rsid w:val="00985D5B"/>
    <w:rsid w:val="009A00FE"/>
    <w:rsid w:val="009B43C0"/>
    <w:rsid w:val="009B43EF"/>
    <w:rsid w:val="009B5182"/>
    <w:rsid w:val="009B52EF"/>
    <w:rsid w:val="009C3C1E"/>
    <w:rsid w:val="009D6F63"/>
    <w:rsid w:val="009F5428"/>
    <w:rsid w:val="00A018C4"/>
    <w:rsid w:val="00A0355A"/>
    <w:rsid w:val="00A225C3"/>
    <w:rsid w:val="00A277D5"/>
    <w:rsid w:val="00A352DF"/>
    <w:rsid w:val="00A40241"/>
    <w:rsid w:val="00A415C6"/>
    <w:rsid w:val="00A4273F"/>
    <w:rsid w:val="00A449ED"/>
    <w:rsid w:val="00A57D9A"/>
    <w:rsid w:val="00A66638"/>
    <w:rsid w:val="00A73500"/>
    <w:rsid w:val="00A85C54"/>
    <w:rsid w:val="00A92209"/>
    <w:rsid w:val="00A96B24"/>
    <w:rsid w:val="00A979E6"/>
    <w:rsid w:val="00AA3373"/>
    <w:rsid w:val="00AA3D98"/>
    <w:rsid w:val="00AA7743"/>
    <w:rsid w:val="00AB6D9D"/>
    <w:rsid w:val="00AC7BCF"/>
    <w:rsid w:val="00AE7B75"/>
    <w:rsid w:val="00AF74BF"/>
    <w:rsid w:val="00B0214D"/>
    <w:rsid w:val="00B0540E"/>
    <w:rsid w:val="00B10296"/>
    <w:rsid w:val="00B12DEA"/>
    <w:rsid w:val="00B151B7"/>
    <w:rsid w:val="00B20044"/>
    <w:rsid w:val="00B464FA"/>
    <w:rsid w:val="00B53C58"/>
    <w:rsid w:val="00B5767A"/>
    <w:rsid w:val="00B61D50"/>
    <w:rsid w:val="00B63985"/>
    <w:rsid w:val="00B65843"/>
    <w:rsid w:val="00B75961"/>
    <w:rsid w:val="00B763D2"/>
    <w:rsid w:val="00B80414"/>
    <w:rsid w:val="00B93495"/>
    <w:rsid w:val="00B97430"/>
    <w:rsid w:val="00BA2F4B"/>
    <w:rsid w:val="00BA3C24"/>
    <w:rsid w:val="00BB46B0"/>
    <w:rsid w:val="00BB480D"/>
    <w:rsid w:val="00BC2C0C"/>
    <w:rsid w:val="00BC68DC"/>
    <w:rsid w:val="00BF7CA1"/>
    <w:rsid w:val="00C02945"/>
    <w:rsid w:val="00C2275D"/>
    <w:rsid w:val="00C230A3"/>
    <w:rsid w:val="00C268E7"/>
    <w:rsid w:val="00C34BB0"/>
    <w:rsid w:val="00C516A7"/>
    <w:rsid w:val="00C808A7"/>
    <w:rsid w:val="00C87A32"/>
    <w:rsid w:val="00C910F6"/>
    <w:rsid w:val="00C9208F"/>
    <w:rsid w:val="00C969B4"/>
    <w:rsid w:val="00CA1F44"/>
    <w:rsid w:val="00CB7606"/>
    <w:rsid w:val="00CC3BF1"/>
    <w:rsid w:val="00CD2BAA"/>
    <w:rsid w:val="00CD5612"/>
    <w:rsid w:val="00CD5C90"/>
    <w:rsid w:val="00CE04FE"/>
    <w:rsid w:val="00CE3DB6"/>
    <w:rsid w:val="00CE4D57"/>
    <w:rsid w:val="00CE61B7"/>
    <w:rsid w:val="00CE789C"/>
    <w:rsid w:val="00D1344A"/>
    <w:rsid w:val="00D317B2"/>
    <w:rsid w:val="00D344B4"/>
    <w:rsid w:val="00D35A4D"/>
    <w:rsid w:val="00D37229"/>
    <w:rsid w:val="00D57771"/>
    <w:rsid w:val="00D84CF4"/>
    <w:rsid w:val="00D94AEE"/>
    <w:rsid w:val="00DA1B65"/>
    <w:rsid w:val="00DB4FF7"/>
    <w:rsid w:val="00DB6B6D"/>
    <w:rsid w:val="00DD0872"/>
    <w:rsid w:val="00DE5414"/>
    <w:rsid w:val="00DE6596"/>
    <w:rsid w:val="00DE7DBE"/>
    <w:rsid w:val="00DF3248"/>
    <w:rsid w:val="00DF5378"/>
    <w:rsid w:val="00E022A8"/>
    <w:rsid w:val="00E07800"/>
    <w:rsid w:val="00E1153D"/>
    <w:rsid w:val="00E14740"/>
    <w:rsid w:val="00E3088D"/>
    <w:rsid w:val="00E347B9"/>
    <w:rsid w:val="00E41DB4"/>
    <w:rsid w:val="00E42C55"/>
    <w:rsid w:val="00E47A7F"/>
    <w:rsid w:val="00E7647B"/>
    <w:rsid w:val="00E9769E"/>
    <w:rsid w:val="00E97BF8"/>
    <w:rsid w:val="00EA4A74"/>
    <w:rsid w:val="00EA6C53"/>
    <w:rsid w:val="00EB16BC"/>
    <w:rsid w:val="00EB5D17"/>
    <w:rsid w:val="00EB6285"/>
    <w:rsid w:val="00EC0D20"/>
    <w:rsid w:val="00ED7E26"/>
    <w:rsid w:val="00EE5198"/>
    <w:rsid w:val="00EF16C7"/>
    <w:rsid w:val="00EF1B70"/>
    <w:rsid w:val="00EF5E3F"/>
    <w:rsid w:val="00F105BE"/>
    <w:rsid w:val="00F11D6E"/>
    <w:rsid w:val="00F12A2F"/>
    <w:rsid w:val="00F21D36"/>
    <w:rsid w:val="00F22286"/>
    <w:rsid w:val="00F43A01"/>
    <w:rsid w:val="00F528EF"/>
    <w:rsid w:val="00F5590E"/>
    <w:rsid w:val="00F72802"/>
    <w:rsid w:val="00F72E1C"/>
    <w:rsid w:val="00F7394F"/>
    <w:rsid w:val="00F74CB9"/>
    <w:rsid w:val="00F7730B"/>
    <w:rsid w:val="00F8143B"/>
    <w:rsid w:val="00F87473"/>
    <w:rsid w:val="00FA1A18"/>
    <w:rsid w:val="00FB3B0E"/>
    <w:rsid w:val="00FB5C50"/>
    <w:rsid w:val="00FB68AB"/>
    <w:rsid w:val="00FC2102"/>
    <w:rsid w:val="00FC76A0"/>
    <w:rsid w:val="00FD0DD7"/>
    <w:rsid w:val="00FD36A8"/>
    <w:rsid w:val="01026C29"/>
    <w:rsid w:val="01E83DAE"/>
    <w:rsid w:val="09002287"/>
    <w:rsid w:val="0A4B6FD7"/>
    <w:rsid w:val="0BDC6D79"/>
    <w:rsid w:val="0C2A43CB"/>
    <w:rsid w:val="11F56D91"/>
    <w:rsid w:val="14A5190A"/>
    <w:rsid w:val="14A55AC6"/>
    <w:rsid w:val="172A3F1C"/>
    <w:rsid w:val="183D2768"/>
    <w:rsid w:val="18AF4806"/>
    <w:rsid w:val="19372B22"/>
    <w:rsid w:val="1E7D3361"/>
    <w:rsid w:val="20346B2B"/>
    <w:rsid w:val="206F57D3"/>
    <w:rsid w:val="211519F6"/>
    <w:rsid w:val="23BC7974"/>
    <w:rsid w:val="27B30E28"/>
    <w:rsid w:val="2C791326"/>
    <w:rsid w:val="331A060A"/>
    <w:rsid w:val="340B47D8"/>
    <w:rsid w:val="37131032"/>
    <w:rsid w:val="3CA659B1"/>
    <w:rsid w:val="40204EAF"/>
    <w:rsid w:val="41207BDE"/>
    <w:rsid w:val="4BEE7CD4"/>
    <w:rsid w:val="54CF2729"/>
    <w:rsid w:val="570E1482"/>
    <w:rsid w:val="57B945B7"/>
    <w:rsid w:val="57F30EF3"/>
    <w:rsid w:val="5830007F"/>
    <w:rsid w:val="5B3249C2"/>
    <w:rsid w:val="5C606FAD"/>
    <w:rsid w:val="62C46381"/>
    <w:rsid w:val="6687336D"/>
    <w:rsid w:val="6826707E"/>
    <w:rsid w:val="70412C1E"/>
    <w:rsid w:val="71054F7A"/>
    <w:rsid w:val="71212355"/>
    <w:rsid w:val="755E2130"/>
    <w:rsid w:val="761423FA"/>
    <w:rsid w:val="77D82D2C"/>
    <w:rsid w:val="7EEE3AB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4"/>
    <w:qFormat/>
    <w:uiPriority w:val="9"/>
    <w:pPr>
      <w:keepNext/>
      <w:keepLines/>
      <w:numPr>
        <w:ilvl w:val="0"/>
        <w:numId w:val="1"/>
      </w:numPr>
      <w:spacing w:before="50" w:beforeLines="50" w:after="50" w:afterLines="50"/>
      <w:ind w:firstLineChars="0"/>
      <w:jc w:val="center"/>
      <w:outlineLvl w:val="0"/>
    </w:pPr>
    <w:rPr>
      <w:b/>
      <w:bCs/>
      <w:kern w:val="44"/>
      <w:sz w:val="32"/>
      <w:szCs w:val="44"/>
    </w:rPr>
  </w:style>
  <w:style w:type="paragraph" w:styleId="3">
    <w:name w:val="heading 2"/>
    <w:basedOn w:val="1"/>
    <w:next w:val="1"/>
    <w:link w:val="25"/>
    <w:unhideWhenUsed/>
    <w:qFormat/>
    <w:uiPriority w:val="9"/>
    <w:pPr>
      <w:keepNext/>
      <w:keepLines/>
      <w:numPr>
        <w:ilvl w:val="1"/>
        <w:numId w:val="1"/>
      </w:numPr>
      <w:spacing w:before="50" w:beforeLines="50" w:after="50" w:afterLines="50"/>
      <w:ind w:firstLine="200"/>
      <w:outlineLvl w:val="1"/>
    </w:pPr>
    <w:rPr>
      <w:rFonts w:cstheme="majorBidi"/>
      <w:b/>
      <w:bCs/>
      <w:color w:val="FF6600"/>
      <w:sz w:val="30"/>
      <w:szCs w:val="32"/>
    </w:rPr>
  </w:style>
  <w:style w:type="paragraph" w:styleId="4">
    <w:name w:val="heading 3"/>
    <w:basedOn w:val="1"/>
    <w:next w:val="1"/>
    <w:link w:val="26"/>
    <w:unhideWhenUsed/>
    <w:qFormat/>
    <w:uiPriority w:val="9"/>
    <w:pPr>
      <w:keepNext/>
      <w:keepLines/>
      <w:numPr>
        <w:ilvl w:val="2"/>
        <w:numId w:val="1"/>
      </w:numPr>
      <w:spacing w:before="50" w:beforeLines="50" w:after="50" w:afterLines="50"/>
      <w:ind w:firstLineChars="0"/>
      <w:outlineLvl w:val="2"/>
    </w:pPr>
    <w:rPr>
      <w:bCs/>
      <w:color w:val="0066FF"/>
      <w:sz w:val="28"/>
      <w:szCs w:val="32"/>
    </w:rPr>
  </w:style>
  <w:style w:type="paragraph" w:styleId="5">
    <w:name w:val="heading 4"/>
    <w:basedOn w:val="1"/>
    <w:next w:val="1"/>
    <w:link w:val="27"/>
    <w:unhideWhenUsed/>
    <w:qFormat/>
    <w:uiPriority w:val="9"/>
    <w:pPr>
      <w:keepNext/>
      <w:keepLines/>
      <w:numPr>
        <w:ilvl w:val="3"/>
        <w:numId w:val="1"/>
      </w:numPr>
      <w:spacing w:before="10" w:after="10" w:line="377" w:lineRule="auto"/>
      <w:ind w:firstLine="200"/>
      <w:outlineLvl w:val="3"/>
    </w:pPr>
    <w:rPr>
      <w:rFonts w:cstheme="majorBidi"/>
      <w:b/>
      <w:bCs/>
      <w:color w:val="00CC00"/>
      <w:szCs w:val="28"/>
    </w:rPr>
  </w:style>
  <w:style w:type="paragraph" w:styleId="6">
    <w:name w:val="heading 6"/>
    <w:basedOn w:val="1"/>
    <w:next w:val="1"/>
    <w:link w:val="35"/>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46"/>
    <w:semiHidden/>
    <w:unhideWhenUsed/>
    <w:qFormat/>
    <w:uiPriority w:val="99"/>
    <w:pPr>
      <w:jc w:val="left"/>
    </w:pPr>
  </w:style>
  <w:style w:type="paragraph" w:styleId="8">
    <w:name w:val="Body Text"/>
    <w:basedOn w:val="1"/>
    <w:link w:val="49"/>
    <w:semiHidden/>
    <w:unhideWhenUsed/>
    <w:qFormat/>
    <w:uiPriority w:val="0"/>
    <w:pPr>
      <w:suppressAutoHyphens/>
      <w:adjustRightInd w:val="0"/>
      <w:spacing w:line="312" w:lineRule="auto"/>
      <w:ind w:firstLine="0" w:firstLineChars="0"/>
      <w:jc w:val="left"/>
    </w:pPr>
    <w:rPr>
      <w:rFonts w:cs="Times New Roman"/>
      <w:spacing w:val="-4"/>
      <w:kern w:val="0"/>
      <w:szCs w:val="20"/>
    </w:rPr>
  </w:style>
  <w:style w:type="paragraph" w:styleId="9">
    <w:name w:val="toc 3"/>
    <w:basedOn w:val="1"/>
    <w:next w:val="1"/>
    <w:unhideWhenUsed/>
    <w:qFormat/>
    <w:uiPriority w:val="39"/>
    <w:pPr>
      <w:ind w:left="840" w:leftChars="400"/>
    </w:pPr>
  </w:style>
  <w:style w:type="paragraph" w:styleId="10">
    <w:name w:val="Plain Text"/>
    <w:basedOn w:val="1"/>
    <w:link w:val="56"/>
    <w:qFormat/>
    <w:uiPriority w:val="0"/>
    <w:pPr>
      <w:spacing w:line="240" w:lineRule="auto"/>
      <w:ind w:firstLine="0" w:firstLineChars="0"/>
    </w:pPr>
    <w:rPr>
      <w:rFonts w:hint="eastAsia" w:ascii="宋体" w:hAnsi="Courier New" w:cs="Courier New"/>
      <w:sz w:val="21"/>
      <w:szCs w:val="21"/>
    </w:rPr>
  </w:style>
  <w:style w:type="paragraph" w:styleId="11">
    <w:name w:val="Balloon Text"/>
    <w:basedOn w:val="1"/>
    <w:link w:val="30"/>
    <w:semiHidden/>
    <w:unhideWhenUsed/>
    <w:qFormat/>
    <w:uiPriority w:val="99"/>
    <w:pPr>
      <w:spacing w:line="240" w:lineRule="auto"/>
    </w:pPr>
    <w:rPr>
      <w:sz w:val="18"/>
      <w:szCs w:val="18"/>
    </w:rPr>
  </w:style>
  <w:style w:type="paragraph" w:styleId="12">
    <w:name w:val="footer"/>
    <w:basedOn w:val="1"/>
    <w:link w:val="29"/>
    <w:unhideWhenUsed/>
    <w:qFormat/>
    <w:uiPriority w:val="99"/>
    <w:pPr>
      <w:tabs>
        <w:tab w:val="center" w:pos="4153"/>
        <w:tab w:val="right" w:pos="8306"/>
      </w:tabs>
      <w:snapToGrid w:val="0"/>
      <w:spacing w:line="240" w:lineRule="auto"/>
      <w:jc w:val="left"/>
    </w:pPr>
    <w:rPr>
      <w:sz w:val="18"/>
      <w:szCs w:val="18"/>
    </w:rPr>
  </w:style>
  <w:style w:type="paragraph" w:styleId="13">
    <w:name w:val="header"/>
    <w:basedOn w:val="1"/>
    <w:link w:val="28"/>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4">
    <w:name w:val="toc 1"/>
    <w:basedOn w:val="1"/>
    <w:next w:val="1"/>
    <w:unhideWhenUsed/>
    <w:qFormat/>
    <w:uiPriority w:val="39"/>
  </w:style>
  <w:style w:type="paragraph" w:styleId="15">
    <w:name w:val="toc 2"/>
    <w:basedOn w:val="1"/>
    <w:next w:val="1"/>
    <w:unhideWhenUsed/>
    <w:qFormat/>
    <w:uiPriority w:val="39"/>
    <w:pPr>
      <w:ind w:left="420" w:leftChars="200"/>
    </w:pPr>
  </w:style>
  <w:style w:type="paragraph" w:styleId="16">
    <w:name w:val="annotation subject"/>
    <w:basedOn w:val="7"/>
    <w:next w:val="7"/>
    <w:link w:val="47"/>
    <w:semiHidden/>
    <w:unhideWhenUsed/>
    <w:qFormat/>
    <w:uiPriority w:val="99"/>
    <w:rPr>
      <w:b/>
      <w:bCs/>
    </w:rPr>
  </w:style>
  <w:style w:type="paragraph" w:styleId="17">
    <w:name w:val="Body Text First Indent"/>
    <w:basedOn w:val="1"/>
    <w:unhideWhenUsed/>
    <w:qFormat/>
    <w:uiPriority w:val="99"/>
    <w:pPr>
      <w:ind w:firstLine="420" w:firstLineChars="100"/>
    </w:p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qFormat/>
    <w:uiPriority w:val="20"/>
    <w:rPr>
      <w:i/>
      <w:iCs/>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21"/>
      <w:szCs w:val="21"/>
    </w:rPr>
  </w:style>
  <w:style w:type="character" w:customStyle="1" w:styleId="24">
    <w:name w:val="标题 1 字符"/>
    <w:basedOn w:val="20"/>
    <w:link w:val="2"/>
    <w:qFormat/>
    <w:uiPriority w:val="9"/>
    <w:rPr>
      <w:rFonts w:ascii="Times New Roman" w:hAnsi="Times New Roman" w:eastAsia="宋体"/>
      <w:b/>
      <w:bCs/>
      <w:kern w:val="44"/>
      <w:sz w:val="32"/>
      <w:szCs w:val="44"/>
    </w:rPr>
  </w:style>
  <w:style w:type="character" w:customStyle="1" w:styleId="25">
    <w:name w:val="标题 2 字符"/>
    <w:basedOn w:val="20"/>
    <w:link w:val="3"/>
    <w:qFormat/>
    <w:uiPriority w:val="9"/>
    <w:rPr>
      <w:rFonts w:ascii="Times New Roman" w:hAnsi="Times New Roman" w:eastAsia="宋体" w:cstheme="majorBidi"/>
      <w:b/>
      <w:bCs/>
      <w:color w:val="FF6600"/>
      <w:sz w:val="30"/>
      <w:szCs w:val="32"/>
    </w:rPr>
  </w:style>
  <w:style w:type="character" w:customStyle="1" w:styleId="26">
    <w:name w:val="标题 3 字符"/>
    <w:basedOn w:val="20"/>
    <w:link w:val="4"/>
    <w:qFormat/>
    <w:uiPriority w:val="9"/>
    <w:rPr>
      <w:rFonts w:ascii="Times New Roman" w:hAnsi="Times New Roman" w:eastAsia="宋体"/>
      <w:bCs/>
      <w:color w:val="0066FF"/>
      <w:sz w:val="28"/>
      <w:szCs w:val="32"/>
    </w:rPr>
  </w:style>
  <w:style w:type="character" w:customStyle="1" w:styleId="27">
    <w:name w:val="标题 4 字符"/>
    <w:basedOn w:val="20"/>
    <w:link w:val="5"/>
    <w:qFormat/>
    <w:uiPriority w:val="9"/>
    <w:rPr>
      <w:rFonts w:ascii="Times New Roman" w:hAnsi="Times New Roman" w:eastAsia="宋体" w:cstheme="majorBidi"/>
      <w:b/>
      <w:bCs/>
      <w:color w:val="00CC00"/>
      <w:sz w:val="24"/>
      <w:szCs w:val="28"/>
    </w:rPr>
  </w:style>
  <w:style w:type="character" w:customStyle="1" w:styleId="28">
    <w:name w:val="页眉 字符"/>
    <w:basedOn w:val="20"/>
    <w:link w:val="13"/>
    <w:qFormat/>
    <w:uiPriority w:val="99"/>
    <w:rPr>
      <w:rFonts w:ascii="Times New Roman" w:hAnsi="Times New Roman" w:eastAsia="宋体"/>
      <w:sz w:val="18"/>
      <w:szCs w:val="18"/>
    </w:rPr>
  </w:style>
  <w:style w:type="character" w:customStyle="1" w:styleId="29">
    <w:name w:val="页脚 字符"/>
    <w:basedOn w:val="20"/>
    <w:link w:val="12"/>
    <w:qFormat/>
    <w:uiPriority w:val="99"/>
    <w:rPr>
      <w:rFonts w:ascii="Times New Roman" w:hAnsi="Times New Roman" w:eastAsia="宋体"/>
      <w:sz w:val="18"/>
      <w:szCs w:val="18"/>
    </w:rPr>
  </w:style>
  <w:style w:type="character" w:customStyle="1" w:styleId="30">
    <w:name w:val="批注框文本 字符"/>
    <w:basedOn w:val="20"/>
    <w:link w:val="11"/>
    <w:semiHidden/>
    <w:qFormat/>
    <w:uiPriority w:val="99"/>
    <w:rPr>
      <w:rFonts w:ascii="Times New Roman" w:hAnsi="Times New Roman" w:eastAsia="宋体"/>
      <w:sz w:val="18"/>
      <w:szCs w:val="18"/>
    </w:rPr>
  </w:style>
  <w:style w:type="paragraph" w:styleId="31">
    <w:name w:val="List Paragraph"/>
    <w:basedOn w:val="1"/>
    <w:qFormat/>
    <w:uiPriority w:val="99"/>
    <w:pPr>
      <w:ind w:firstLine="420"/>
    </w:pPr>
  </w:style>
  <w:style w:type="paragraph" w:customStyle="1" w:styleId="32">
    <w:name w:val="TOC 标题1"/>
    <w:basedOn w:val="2"/>
    <w:next w:val="1"/>
    <w:unhideWhenUsed/>
    <w:qFormat/>
    <w:uiPriority w:val="39"/>
    <w:pPr>
      <w:widowControl/>
      <w:numPr>
        <w:numId w:val="0"/>
      </w:numPr>
      <w:spacing w:before="240" w:after="0" w:line="259" w:lineRule="auto"/>
      <w:jc w:val="left"/>
      <w:outlineLvl w:val="9"/>
    </w:pPr>
    <w:rPr>
      <w:rFonts w:asciiTheme="majorHAnsi" w:hAnsiTheme="majorHAnsi" w:eastAsiaTheme="majorEastAsia" w:cstheme="majorBidi"/>
      <w:b w:val="0"/>
      <w:bCs w:val="0"/>
      <w:color w:val="2F5597" w:themeColor="accent1" w:themeShade="BF"/>
      <w:kern w:val="0"/>
      <w:szCs w:val="32"/>
    </w:rPr>
  </w:style>
  <w:style w:type="paragraph" w:customStyle="1" w:styleId="33">
    <w:name w:val="（1）"/>
    <w:basedOn w:val="1"/>
    <w:link w:val="34"/>
    <w:qFormat/>
    <w:uiPriority w:val="0"/>
    <w:pPr>
      <w:numPr>
        <w:ilvl w:val="0"/>
        <w:numId w:val="2"/>
      </w:numPr>
      <w:ind w:left="480" w:hanging="480" w:hangingChars="200"/>
      <w:contextualSpacing/>
    </w:pPr>
  </w:style>
  <w:style w:type="character" w:customStyle="1" w:styleId="34">
    <w:name w:val="（1） 字符"/>
    <w:basedOn w:val="20"/>
    <w:link w:val="33"/>
    <w:qFormat/>
    <w:uiPriority w:val="0"/>
    <w:rPr>
      <w:rFonts w:ascii="Times New Roman" w:hAnsi="Times New Roman" w:eastAsia="宋体"/>
      <w:sz w:val="24"/>
    </w:rPr>
  </w:style>
  <w:style w:type="character" w:customStyle="1" w:styleId="35">
    <w:name w:val="标题 6 字符"/>
    <w:basedOn w:val="20"/>
    <w:link w:val="6"/>
    <w:semiHidden/>
    <w:qFormat/>
    <w:uiPriority w:val="9"/>
    <w:rPr>
      <w:rFonts w:asciiTheme="majorHAnsi" w:hAnsiTheme="majorHAnsi" w:eastAsiaTheme="majorEastAsia" w:cstheme="majorBidi"/>
      <w:b/>
      <w:bCs/>
      <w:sz w:val="24"/>
      <w:szCs w:val="24"/>
    </w:rPr>
  </w:style>
  <w:style w:type="paragraph" w:customStyle="1" w:styleId="36">
    <w:name w:val="表头"/>
    <w:basedOn w:val="1"/>
    <w:qFormat/>
    <w:uiPriority w:val="0"/>
    <w:pPr>
      <w:spacing w:before="50" w:beforeLines="50" w:after="50" w:afterLines="50" w:line="240" w:lineRule="auto"/>
      <w:ind w:firstLine="0" w:firstLineChars="0"/>
      <w:jc w:val="center"/>
    </w:pPr>
    <w:rPr>
      <w:rFonts w:ascii="宋体" w:hAnsi="宋体" w:cs="宋体"/>
      <w:b/>
      <w:snapToGrid w:val="0"/>
      <w:kern w:val="0"/>
      <w:sz w:val="21"/>
      <w:szCs w:val="24"/>
    </w:rPr>
  </w:style>
  <w:style w:type="paragraph" w:customStyle="1" w:styleId="37">
    <w:name w:val="表格"/>
    <w:link w:val="38"/>
    <w:qFormat/>
    <w:uiPriority w:val="0"/>
    <w:pPr>
      <w:widowControl w:val="0"/>
      <w:adjustRightInd w:val="0"/>
      <w:spacing w:line="360" w:lineRule="auto"/>
      <w:jc w:val="center"/>
    </w:pPr>
    <w:rPr>
      <w:rFonts w:ascii="宋体" w:hAnsi="Times New Roman" w:eastAsia="宋体" w:cs="Times New Roman"/>
      <w:sz w:val="21"/>
      <w:lang w:val="en-US" w:eastAsia="zh-CN" w:bidi="ar-SA"/>
    </w:rPr>
  </w:style>
  <w:style w:type="character" w:customStyle="1" w:styleId="38">
    <w:name w:val="表格 Char"/>
    <w:link w:val="37"/>
    <w:qFormat/>
    <w:locked/>
    <w:uiPriority w:val="0"/>
    <w:rPr>
      <w:rFonts w:ascii="宋体" w:hAnsi="Times New Roman" w:eastAsia="宋体" w:cs="Times New Roman"/>
      <w:kern w:val="0"/>
      <w:szCs w:val="20"/>
    </w:rPr>
  </w:style>
  <w:style w:type="paragraph" w:customStyle="1" w:styleId="39">
    <w:name w:val="正文2"/>
    <w:basedOn w:val="1"/>
    <w:link w:val="40"/>
    <w:qFormat/>
    <w:uiPriority w:val="0"/>
    <w:rPr>
      <w:rFonts w:ascii="宋体" w:hAnsi="宋体" w:cs="Times New Roman"/>
      <w:szCs w:val="24"/>
    </w:rPr>
  </w:style>
  <w:style w:type="character" w:customStyle="1" w:styleId="40">
    <w:name w:val="正文2 字符"/>
    <w:link w:val="39"/>
    <w:qFormat/>
    <w:uiPriority w:val="0"/>
    <w:rPr>
      <w:rFonts w:ascii="宋体" w:hAnsi="宋体" w:eastAsia="宋体" w:cs="Times New Roman"/>
      <w:sz w:val="24"/>
      <w:szCs w:val="24"/>
    </w:rPr>
  </w:style>
  <w:style w:type="character" w:customStyle="1" w:styleId="41">
    <w:name w:val="标准 正文 QJJ Char Char"/>
    <w:link w:val="42"/>
    <w:qFormat/>
    <w:uiPriority w:val="99"/>
    <w:rPr>
      <w:rFonts w:ascii="宋体" w:hAnsi="Arial"/>
      <w:spacing w:val="20"/>
      <w:sz w:val="24"/>
      <w:szCs w:val="24"/>
    </w:rPr>
  </w:style>
  <w:style w:type="paragraph" w:customStyle="1" w:styleId="42">
    <w:name w:val="标准 正文 QJJ"/>
    <w:basedOn w:val="1"/>
    <w:link w:val="41"/>
    <w:qFormat/>
    <w:uiPriority w:val="99"/>
    <w:pPr>
      <w:autoSpaceDE w:val="0"/>
      <w:autoSpaceDN w:val="0"/>
      <w:adjustRightInd w:val="0"/>
      <w:spacing w:line="520" w:lineRule="exact"/>
      <w:ind w:firstLine="480"/>
      <w:jc w:val="left"/>
    </w:pPr>
    <w:rPr>
      <w:rFonts w:ascii="宋体" w:hAnsi="Arial" w:eastAsiaTheme="minorEastAsia"/>
      <w:spacing w:val="20"/>
      <w:szCs w:val="24"/>
    </w:rPr>
  </w:style>
  <w:style w:type="paragraph" w:customStyle="1" w:styleId="43">
    <w:name w:val="图表"/>
    <w:basedOn w:val="1"/>
    <w:link w:val="44"/>
    <w:qFormat/>
    <w:uiPriority w:val="0"/>
    <w:pPr>
      <w:spacing w:line="240" w:lineRule="auto"/>
      <w:ind w:firstLine="0" w:firstLineChars="0"/>
      <w:jc w:val="center"/>
    </w:pPr>
  </w:style>
  <w:style w:type="character" w:customStyle="1" w:styleId="44">
    <w:name w:val="图表 字符"/>
    <w:basedOn w:val="20"/>
    <w:link w:val="43"/>
    <w:qFormat/>
    <w:uiPriority w:val="0"/>
    <w:rPr>
      <w:rFonts w:ascii="Times New Roman" w:hAnsi="Times New Roman" w:eastAsia="宋体"/>
      <w:sz w:val="24"/>
    </w:rPr>
  </w:style>
  <w:style w:type="table" w:customStyle="1" w:styleId="45">
    <w:name w:val="网格型1"/>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批注文字 字符"/>
    <w:basedOn w:val="20"/>
    <w:link w:val="7"/>
    <w:semiHidden/>
    <w:qFormat/>
    <w:uiPriority w:val="99"/>
    <w:rPr>
      <w:rFonts w:ascii="Times New Roman" w:hAnsi="Times New Roman" w:eastAsia="宋体"/>
      <w:sz w:val="24"/>
    </w:rPr>
  </w:style>
  <w:style w:type="character" w:customStyle="1" w:styleId="47">
    <w:name w:val="批注主题 字符"/>
    <w:basedOn w:val="46"/>
    <w:link w:val="16"/>
    <w:semiHidden/>
    <w:qFormat/>
    <w:uiPriority w:val="99"/>
    <w:rPr>
      <w:rFonts w:ascii="Times New Roman" w:hAnsi="Times New Roman" w:eastAsia="宋体"/>
      <w:b/>
      <w:bCs/>
      <w:sz w:val="24"/>
    </w:rPr>
  </w:style>
  <w:style w:type="character" w:customStyle="1" w:styleId="48">
    <w:name w:val="未处理的提及1"/>
    <w:basedOn w:val="20"/>
    <w:semiHidden/>
    <w:unhideWhenUsed/>
    <w:qFormat/>
    <w:uiPriority w:val="99"/>
    <w:rPr>
      <w:color w:val="605E5C"/>
      <w:shd w:val="clear" w:color="auto" w:fill="E1DFDD"/>
    </w:rPr>
  </w:style>
  <w:style w:type="character" w:customStyle="1" w:styleId="49">
    <w:name w:val="正文文本 字符"/>
    <w:basedOn w:val="20"/>
    <w:link w:val="8"/>
    <w:semiHidden/>
    <w:qFormat/>
    <w:uiPriority w:val="0"/>
    <w:rPr>
      <w:rFonts w:ascii="Times New Roman" w:hAnsi="Times New Roman" w:eastAsia="宋体" w:cs="Times New Roman"/>
      <w:spacing w:val="-4"/>
      <w:kern w:val="0"/>
      <w:sz w:val="24"/>
      <w:szCs w:val="20"/>
    </w:rPr>
  </w:style>
  <w:style w:type="character" w:customStyle="1" w:styleId="50">
    <w:name w:val="！正文 Char"/>
    <w:link w:val="51"/>
    <w:qFormat/>
    <w:locked/>
    <w:uiPriority w:val="0"/>
    <w:rPr>
      <w:rFonts w:ascii="Arial" w:hAnsi="Arial" w:cs="宋体"/>
      <w:sz w:val="24"/>
      <w:szCs w:val="24"/>
    </w:rPr>
  </w:style>
  <w:style w:type="paragraph" w:customStyle="1" w:styleId="51">
    <w:name w:val="！正文"/>
    <w:basedOn w:val="1"/>
    <w:link w:val="50"/>
    <w:qFormat/>
    <w:uiPriority w:val="0"/>
    <w:pPr>
      <w:ind w:firstLine="480"/>
    </w:pPr>
    <w:rPr>
      <w:rFonts w:ascii="Arial" w:hAnsi="Arial" w:cs="宋体" w:eastAsiaTheme="minorEastAsia"/>
      <w:szCs w:val="24"/>
    </w:rPr>
  </w:style>
  <w:style w:type="paragraph" w:customStyle="1" w:styleId="52">
    <w:name w:val="1、"/>
    <w:basedOn w:val="1"/>
    <w:link w:val="53"/>
    <w:qFormat/>
    <w:uiPriority w:val="0"/>
    <w:rPr>
      <w:sz w:val="28"/>
    </w:rPr>
  </w:style>
  <w:style w:type="character" w:customStyle="1" w:styleId="53">
    <w:name w:val="1、 字符"/>
    <w:basedOn w:val="20"/>
    <w:link w:val="52"/>
    <w:qFormat/>
    <w:uiPriority w:val="0"/>
    <w:rPr>
      <w:rFonts w:ascii="Times New Roman" w:hAnsi="Times New Roman" w:eastAsia="宋体"/>
      <w:sz w:val="28"/>
    </w:rPr>
  </w:style>
  <w:style w:type="paragraph" w:customStyle="1" w:styleId="54">
    <w:name w:val="表格，内容"/>
    <w:basedOn w:val="1"/>
    <w:qFormat/>
    <w:uiPriority w:val="0"/>
    <w:pPr>
      <w:spacing w:before="40" w:after="40" w:line="240" w:lineRule="exact"/>
      <w:ind w:firstLine="0" w:firstLineChars="0"/>
      <w:jc w:val="center"/>
    </w:pPr>
    <w:rPr>
      <w:rFonts w:ascii="宋体" w:cs="Times New Roman"/>
      <w:spacing w:val="6"/>
      <w:kern w:val="44"/>
      <w:sz w:val="21"/>
      <w:szCs w:val="24"/>
    </w:rPr>
  </w:style>
  <w:style w:type="table" w:customStyle="1" w:styleId="55">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56">
    <w:name w:val="纯文本 字符"/>
    <w:basedOn w:val="20"/>
    <w:link w:val="10"/>
    <w:qFormat/>
    <w:uiPriority w:val="0"/>
    <w:rPr>
      <w:rFonts w:ascii="宋体" w:hAnsi="Courier New" w:eastAsia="宋体" w:cs="Courier New"/>
      <w:szCs w:val="21"/>
    </w:rPr>
  </w:style>
  <w:style w:type="paragraph" w:customStyle="1" w:styleId="57">
    <w:name w:val="3eee"/>
    <w:basedOn w:val="1"/>
    <w:link w:val="58"/>
    <w:qFormat/>
    <w:uiPriority w:val="0"/>
    <w:pPr>
      <w:spacing w:line="440" w:lineRule="exact"/>
      <w:ind w:firstLine="480"/>
    </w:pPr>
    <w:rPr>
      <w:rFonts w:ascii="宋体" w:hAnsi="宋体" w:cs="宋体"/>
      <w:szCs w:val="24"/>
    </w:rPr>
  </w:style>
  <w:style w:type="character" w:customStyle="1" w:styleId="58">
    <w:name w:val="3eee Char"/>
    <w:basedOn w:val="20"/>
    <w:link w:val="57"/>
    <w:qFormat/>
    <w:uiPriority w:val="0"/>
    <w:rPr>
      <w:rFonts w:ascii="宋体" w:hAnsi="宋体" w:eastAsia="宋体" w:cs="宋体"/>
      <w:sz w:val="24"/>
      <w:szCs w:val="24"/>
    </w:rPr>
  </w:style>
  <w:style w:type="paragraph" w:customStyle="1" w:styleId="59">
    <w:name w:val="工可正文"/>
    <w:basedOn w:val="1"/>
    <w:link w:val="62"/>
    <w:qFormat/>
    <w:uiPriority w:val="0"/>
    <w:pPr>
      <w:autoSpaceDE w:val="0"/>
      <w:autoSpaceDN w:val="0"/>
      <w:ind w:firstLine="480"/>
      <w:jc w:val="left"/>
    </w:pPr>
    <w:rPr>
      <w:rFonts w:cs="Times New Roman"/>
      <w:kern w:val="0"/>
      <w:szCs w:val="24"/>
    </w:rPr>
  </w:style>
  <w:style w:type="paragraph" w:customStyle="1" w:styleId="60">
    <w:name w:val="表格文字"/>
    <w:basedOn w:val="1"/>
    <w:qFormat/>
    <w:uiPriority w:val="0"/>
    <w:pPr>
      <w:spacing w:line="240" w:lineRule="auto"/>
      <w:ind w:firstLine="0" w:firstLineChars="0"/>
      <w:jc w:val="center"/>
    </w:pPr>
    <w:rPr>
      <w:rFonts w:cs="宋体"/>
      <w:bCs/>
      <w:kern w:val="0"/>
      <w:sz w:val="21"/>
      <w:szCs w:val="21"/>
    </w:rPr>
  </w:style>
  <w:style w:type="paragraph" w:customStyle="1" w:styleId="61">
    <w:name w:val="表名"/>
    <w:basedOn w:val="1"/>
    <w:qFormat/>
    <w:uiPriority w:val="0"/>
    <w:pPr>
      <w:adjustRightInd w:val="0"/>
      <w:spacing w:beforeLines="50" w:after="100" w:afterAutospacing="1"/>
      <w:ind w:firstLine="0" w:firstLineChars="0"/>
      <w:jc w:val="center"/>
    </w:pPr>
    <w:rPr>
      <w:rFonts w:ascii="Calibri" w:hAnsi="Calibri" w:eastAsia="黑体" w:cs="Calibri"/>
      <w:b/>
      <w:color w:val="000000"/>
      <w:kern w:val="22"/>
      <w:szCs w:val="24"/>
    </w:rPr>
  </w:style>
  <w:style w:type="character" w:customStyle="1" w:styleId="62">
    <w:name w:val="工可正文 Char"/>
    <w:link w:val="59"/>
    <w:qFormat/>
    <w:uiPriority w:val="0"/>
    <w:rPr>
      <w:sz w:val="24"/>
      <w:szCs w:val="24"/>
    </w:rPr>
  </w:style>
  <w:style w:type="paragraph" w:customStyle="1" w:styleId="63">
    <w:name w:val="TOC Heading"/>
    <w:basedOn w:val="2"/>
    <w:next w:val="1"/>
    <w:unhideWhenUsed/>
    <w:qFormat/>
    <w:uiPriority w:val="39"/>
    <w:pPr>
      <w:widowControl/>
      <w:numPr>
        <w:numId w:val="0"/>
      </w:numPr>
      <w:spacing w:before="240" w:beforeLines="0" w:after="0" w:afterLines="0" w:line="259" w:lineRule="auto"/>
      <w:jc w:val="left"/>
      <w:outlineLvl w:val="9"/>
    </w:pPr>
    <w:rPr>
      <w:rFonts w:asciiTheme="majorHAnsi" w:hAnsiTheme="majorHAnsi" w:eastAsiaTheme="majorEastAsia" w:cstheme="majorBidi"/>
      <w:b w:val="0"/>
      <w:bCs w:val="0"/>
      <w:color w:val="2F5597" w:themeColor="accent1" w:themeShade="BF"/>
      <w:kern w:val="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wmf"/><Relationship Id="rId14" Type="http://schemas.openxmlformats.org/officeDocument/2006/relationships/oleObject" Target="embeddings/oleObject1.bin"/><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5694</Words>
  <Characters>6523</Characters>
  <Lines>9</Lines>
  <Paragraphs>10</Paragraphs>
  <TotalTime>0</TotalTime>
  <ScaleCrop>false</ScaleCrop>
  <LinksUpToDate>false</LinksUpToDate>
  <CharactersWithSpaces>6620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2021-03-18T03:17:00Z</dcterms:created>
  <dc:creator>PC</dc:creator>
  <cp:lastModifiedBy>WPS_1615093619</cp:lastModifiedBy>
  <cp:lastPrinted>2024-11-08T08:50:00Z</cp:lastPrinted>
  <dcterms:modified xsi:type="dcterms:W3CDTF">2025-04-08T09:32:20Z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5BE40F62A7704F6DA3E8A936378BBF1C</vt:lpwstr>
  </property>
  <property fmtid="{D5CDD505-2E9C-101B-9397-08002B2CF9AE}" pid="4" name="KSOTemplateDocerSaveRecord">
    <vt:lpwstr>eyJoZGlkIjoiNmNjMWIzZTY1ZDM3ZjhiNzQzMGI1M2Y4Yzk4NWRlOTUiLCJ1c2VySWQiOiIxMTY5MDkyNTI1In0=</vt:lpwstr>
  </property>
</Properties>
</file>